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72" w:rsidRPr="00674F29" w:rsidRDefault="00AA3572" w:rsidP="00674F29">
      <w:pPr>
        <w:spacing w:after="0" w:line="240" w:lineRule="auto"/>
        <w:rPr>
          <w:rFonts w:ascii="Times New Roman" w:hAnsi="Times New Roman"/>
        </w:rPr>
      </w:pPr>
    </w:p>
    <w:p w:rsidR="00AA3572" w:rsidRPr="00674F29" w:rsidRDefault="00AA3572" w:rsidP="00674F29">
      <w:pPr>
        <w:spacing w:after="0" w:line="240" w:lineRule="auto"/>
        <w:rPr>
          <w:rFonts w:ascii="Times New Roman" w:hAnsi="Times New Roman"/>
        </w:rPr>
      </w:pPr>
    </w:p>
    <w:p w:rsidR="00AA3572" w:rsidRPr="00674F29" w:rsidRDefault="002A26BF" w:rsidP="00674F29">
      <w:pPr>
        <w:spacing w:after="0" w:line="240" w:lineRule="auto"/>
        <w:ind w:left="1134" w:hanging="41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457200"/>
            <wp:effectExtent l="0" t="0" r="8255" b="0"/>
            <wp:wrapNone/>
            <wp:docPr id="5" name="Slika 2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ss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72" w:rsidRPr="00674F29">
        <w:t xml:space="preserve">  SVEUČILIŠTE U ZAGREBU</w:t>
      </w:r>
    </w:p>
    <w:p w:rsidR="00AA3572" w:rsidRPr="00674F29" w:rsidRDefault="00AA3572" w:rsidP="00674F29">
      <w:pPr>
        <w:spacing w:after="0" w:line="240" w:lineRule="auto"/>
        <w:ind w:left="1134" w:hanging="414"/>
      </w:pPr>
      <w:r w:rsidRPr="00674F29">
        <w:t xml:space="preserve">  STUDENTSKI CENTAR U ZAGREBU</w:t>
      </w: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  <w:jc w:val="center"/>
      </w:pPr>
    </w:p>
    <w:p w:rsidR="00AA3572" w:rsidRPr="00674F29" w:rsidRDefault="00AA3572" w:rsidP="00674F29">
      <w:pPr>
        <w:spacing w:after="0" w:line="240" w:lineRule="auto"/>
        <w:jc w:val="center"/>
        <w:rPr>
          <w:b/>
          <w:bCs/>
        </w:rPr>
      </w:pPr>
      <w:r w:rsidRPr="00674F29">
        <w:rPr>
          <w:b/>
          <w:bCs/>
        </w:rPr>
        <w:t>PLAN POSLOVANJA I PROGRAM RADA</w:t>
      </w:r>
    </w:p>
    <w:p w:rsidR="00AA3572" w:rsidRPr="00674F29" w:rsidRDefault="00AA3572" w:rsidP="0035225D">
      <w:pPr>
        <w:spacing w:after="0" w:line="240" w:lineRule="auto"/>
        <w:jc w:val="center"/>
        <w:rPr>
          <w:b/>
          <w:bCs/>
        </w:rPr>
      </w:pPr>
      <w:r w:rsidRPr="00674F29">
        <w:rPr>
          <w:b/>
          <w:bCs/>
        </w:rPr>
        <w:t>STUDENTSKOG CENTRA U ZAGREBU ZA 201</w:t>
      </w:r>
      <w:r w:rsidR="0035225D">
        <w:rPr>
          <w:b/>
          <w:bCs/>
        </w:rPr>
        <w:t>8</w:t>
      </w:r>
      <w:r w:rsidRPr="00674F29">
        <w:rPr>
          <w:b/>
          <w:bCs/>
        </w:rPr>
        <w:t xml:space="preserve">. GODINU </w:t>
      </w:r>
    </w:p>
    <w:p w:rsidR="00AA3572" w:rsidRPr="00674F29" w:rsidRDefault="00AA3572" w:rsidP="00674F29">
      <w:pPr>
        <w:spacing w:after="0" w:line="240" w:lineRule="auto"/>
        <w:jc w:val="center"/>
        <w:rPr>
          <w:b/>
          <w:bCs/>
        </w:rPr>
      </w:pPr>
    </w:p>
    <w:p w:rsidR="00AA3572" w:rsidRPr="00674F29" w:rsidRDefault="001E3832" w:rsidP="001E3832">
      <w:pPr>
        <w:spacing w:after="0" w:line="240" w:lineRule="auto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 (izvadak)</w:t>
      </w:r>
    </w:p>
    <w:p w:rsidR="00AA3572" w:rsidRPr="00674F29" w:rsidRDefault="00AA3572" w:rsidP="00674F29">
      <w:pPr>
        <w:spacing w:after="0" w:line="240" w:lineRule="auto"/>
        <w:jc w:val="center"/>
      </w:pPr>
    </w:p>
    <w:p w:rsidR="00AA3572" w:rsidRPr="00674F29" w:rsidRDefault="00AA3572" w:rsidP="00674F29">
      <w:pPr>
        <w:spacing w:after="0" w:line="240" w:lineRule="auto"/>
        <w:jc w:val="center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Default="00AA3572" w:rsidP="00674F29">
      <w:pPr>
        <w:spacing w:after="0" w:line="240" w:lineRule="auto"/>
      </w:pPr>
    </w:p>
    <w:p w:rsidR="004377DD" w:rsidRDefault="004377DD" w:rsidP="00674F29">
      <w:pPr>
        <w:spacing w:after="0" w:line="240" w:lineRule="auto"/>
      </w:pPr>
    </w:p>
    <w:p w:rsidR="004377DD" w:rsidRDefault="004377DD" w:rsidP="00674F29">
      <w:pPr>
        <w:spacing w:after="0" w:line="240" w:lineRule="auto"/>
      </w:pPr>
    </w:p>
    <w:p w:rsidR="004377DD" w:rsidRDefault="004377DD" w:rsidP="00674F29">
      <w:pPr>
        <w:spacing w:after="0" w:line="240" w:lineRule="auto"/>
      </w:pPr>
    </w:p>
    <w:p w:rsidR="004377DD" w:rsidRDefault="004377DD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AA3572" w:rsidRPr="00674F29" w:rsidRDefault="00AA3572" w:rsidP="00674F29">
      <w:pPr>
        <w:spacing w:after="0" w:line="240" w:lineRule="auto"/>
      </w:pPr>
    </w:p>
    <w:p w:rsidR="005E663A" w:rsidRDefault="00AA3572" w:rsidP="004377DD">
      <w:pPr>
        <w:spacing w:after="0" w:line="240" w:lineRule="auto"/>
        <w:jc w:val="center"/>
      </w:pPr>
      <w:r w:rsidRPr="00674F29">
        <w:t>Zagreb,</w:t>
      </w:r>
      <w:r>
        <w:t xml:space="preserve"> </w:t>
      </w:r>
      <w:r w:rsidR="0035225D">
        <w:t>studeni</w:t>
      </w:r>
      <w:r w:rsidRPr="00674F29">
        <w:t xml:space="preserve"> 201</w:t>
      </w:r>
      <w:r w:rsidR="00A44509">
        <w:t>7</w:t>
      </w:r>
      <w:r w:rsidRPr="00674F29">
        <w:t xml:space="preserve">. </w:t>
      </w:r>
      <w:r w:rsidR="00761E2D">
        <w:t>g</w:t>
      </w:r>
      <w:r w:rsidRPr="00674F29">
        <w:t>odin</w:t>
      </w:r>
      <w:r w:rsidR="005E663A">
        <w:t>e</w:t>
      </w:r>
    </w:p>
    <w:p w:rsidR="006B1179" w:rsidRDefault="006B1179" w:rsidP="002B25A9">
      <w:pPr>
        <w:spacing w:after="0" w:line="240" w:lineRule="auto"/>
        <w:ind w:right="284" w:firstLine="360"/>
        <w:jc w:val="both"/>
        <w:rPr>
          <w:b/>
          <w:sz w:val="24"/>
          <w:szCs w:val="24"/>
        </w:rPr>
      </w:pPr>
    </w:p>
    <w:p w:rsidR="003A6EE0" w:rsidRPr="00AB73BD" w:rsidRDefault="00AA3572" w:rsidP="00D95AE1">
      <w:pPr>
        <w:spacing w:after="0" w:line="240" w:lineRule="auto"/>
        <w:jc w:val="both"/>
        <w:rPr>
          <w:b/>
          <w:sz w:val="28"/>
          <w:szCs w:val="28"/>
        </w:rPr>
      </w:pPr>
      <w:r w:rsidRPr="00AB73BD">
        <w:br w:type="page"/>
      </w:r>
      <w:r w:rsidR="003A6EE0" w:rsidRPr="00AB73BD">
        <w:rPr>
          <w:b/>
          <w:sz w:val="28"/>
          <w:szCs w:val="28"/>
        </w:rPr>
        <w:lastRenderedPageBreak/>
        <w:t>UVOD</w:t>
      </w:r>
    </w:p>
    <w:p w:rsidR="009029B7" w:rsidRPr="00AB73BD" w:rsidRDefault="009029B7" w:rsidP="009029B7">
      <w:pPr>
        <w:spacing w:after="0" w:line="240" w:lineRule="auto"/>
        <w:ind w:left="786"/>
        <w:jc w:val="both"/>
        <w:rPr>
          <w:b/>
          <w:sz w:val="28"/>
          <w:szCs w:val="28"/>
        </w:rPr>
      </w:pPr>
    </w:p>
    <w:p w:rsidR="003A6EE0" w:rsidRPr="00AB73BD" w:rsidRDefault="003A6EE0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  <w:rPr>
          <w:b/>
          <w:bCs/>
        </w:rPr>
      </w:pPr>
      <w:r w:rsidRPr="00AB73BD">
        <w:rPr>
          <w:b/>
          <w:bCs/>
        </w:rPr>
        <w:t>1.</w:t>
      </w:r>
      <w:r w:rsidR="00C13F11" w:rsidRPr="00AB73BD">
        <w:rPr>
          <w:b/>
          <w:bCs/>
        </w:rPr>
        <w:t>1</w:t>
      </w:r>
      <w:r w:rsidR="003A6EE0" w:rsidRPr="00AB73BD">
        <w:rPr>
          <w:b/>
          <w:bCs/>
        </w:rPr>
        <w:t>.</w:t>
      </w:r>
      <w:r w:rsidRPr="00AB73BD">
        <w:rPr>
          <w:b/>
          <w:bCs/>
        </w:rPr>
        <w:t xml:space="preserve"> UVODNA NAPOMENA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Default="00AA3572" w:rsidP="00674F29">
      <w:pPr>
        <w:spacing w:after="0" w:line="240" w:lineRule="auto"/>
        <w:jc w:val="both"/>
      </w:pPr>
      <w:r w:rsidRPr="00674F29">
        <w:t>Vlada Republike Hrvatske je na svojoj sjednici održanoj dana 24.1.2013. godine (NN broj 11/2013), u skladu sa Zakonom o sanaciji studentskih  centara ( NN broj 117/2001), donijela Odluku o sanaciji Studentskog centra Sveučilišta u Zagrebu te imenovala Sanacijskog upravitelja  Peju Pavlovića i San</w:t>
      </w:r>
      <w:r w:rsidR="000B5F49">
        <w:t>acijsko vijeće u sastavu:  Vjekoslav Bratić (</w:t>
      </w:r>
      <w:r w:rsidR="009E01FB">
        <w:t>predsjednik</w:t>
      </w:r>
      <w:r w:rsidR="000B5F49">
        <w:t xml:space="preserve">), </w:t>
      </w:r>
      <w:r w:rsidR="009E01FB">
        <w:t xml:space="preserve">Ivo Grgić </w:t>
      </w:r>
      <w:r w:rsidR="000B5F49">
        <w:t xml:space="preserve"> i Berto Šalaj (</w:t>
      </w:r>
      <w:r w:rsidRPr="00674F29">
        <w:t>član</w:t>
      </w:r>
      <w:r w:rsidR="000B5F49">
        <w:t>ovi).</w:t>
      </w:r>
      <w:r w:rsidRPr="00674F29">
        <w:t xml:space="preserve"> </w:t>
      </w:r>
    </w:p>
    <w:p w:rsidR="00AA3572" w:rsidRPr="00674F29" w:rsidRDefault="00AA3572" w:rsidP="000B5F4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>Navedenim Zakonom i Odlukom utvrđena su prava i obveze Sanacijskog upravitelja i Sanacijskog vijeća.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Default="00AA3572" w:rsidP="00674F29">
      <w:pPr>
        <w:spacing w:after="0" w:line="240" w:lineRule="auto"/>
        <w:jc w:val="both"/>
      </w:pPr>
      <w:r w:rsidRPr="00D9725C">
        <w:t xml:space="preserve">Donošenjem navedene Odluke stvoreni su preduvjeti za sanaciju Studentskog centra. U 2014. godini provedena je revizija normativnih akata Studentskog centra – Statuta SC-a i Pravilnika o radu te je kroz donošenje novog Pravilnika o organizaciji i sistematizaciji radnih mjesta i Pravilnika o plaćama i drugim naknadama radnika SC-a provedena reorganizacija. </w:t>
      </w:r>
    </w:p>
    <w:p w:rsidR="000B5F49" w:rsidRDefault="000B5F49" w:rsidP="00674F29">
      <w:pPr>
        <w:spacing w:after="0" w:line="240" w:lineRule="auto"/>
        <w:jc w:val="both"/>
      </w:pPr>
    </w:p>
    <w:p w:rsidR="000B5F49" w:rsidRDefault="000B5F49" w:rsidP="000B5F49">
      <w:pPr>
        <w:spacing w:after="0" w:line="240" w:lineRule="auto"/>
        <w:jc w:val="both"/>
      </w:pPr>
      <w:r>
        <w:t>Dana 30.3.2016. Odlukom Vlade RH, razriješeni su dužnosti dotadašnji članovi Sanacijskog vijeća te je imenovano novo Sanacijsko vijeće u sastavu: Dragan Krasić (predsjednik), Goran Kolarić i Pero Semren (članovi).</w:t>
      </w:r>
    </w:p>
    <w:p w:rsidR="000B5F49" w:rsidRDefault="000B5F49" w:rsidP="000B5F49">
      <w:pPr>
        <w:spacing w:after="0" w:line="240" w:lineRule="auto"/>
        <w:jc w:val="both"/>
      </w:pPr>
    </w:p>
    <w:p w:rsidR="000B5F49" w:rsidRDefault="000B5F49" w:rsidP="00674F29">
      <w:pPr>
        <w:spacing w:after="0" w:line="240" w:lineRule="auto"/>
        <w:jc w:val="both"/>
      </w:pPr>
      <w:r>
        <w:t>Dana 6.4.2016. Odlukom Vlade RH razriješen je i dotadašnji Sanacijski upravitelj Pejo Pavlović te je za Sanacijskog upravitelja imenovan Mirko Bošnjak.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 xml:space="preserve">Plan poslovanja je temeljni organizacijski dokument kojim se prikazuju poslovni ciljevi u obračunskom razdoblju od godine dana. Njime su obuhvaćene sve poslovne aktivnosti u svim organizacijskim dijelovima te pokazuje rezultate planiranog poslovanja 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>Poslovni plan izrađuje se prije poslovnih aktivnosti i daje okvir u kojem će se ostvariti planirano.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Default="00AA3572" w:rsidP="00674F29">
      <w:pPr>
        <w:spacing w:after="0" w:line="240" w:lineRule="auto"/>
        <w:jc w:val="both"/>
      </w:pPr>
      <w:r w:rsidRPr="00674F29">
        <w:t>Sukladno navedenom u nastavku se daju osnovni elementi potrebni za izradu Plana poslovanja i programa rada Studentskog centra za 201</w:t>
      </w:r>
      <w:r w:rsidR="00697999">
        <w:t>8</w:t>
      </w:r>
      <w:r w:rsidRPr="00674F29">
        <w:t>. godinu, a temeljem financijskih pokazatelja i poslo</w:t>
      </w:r>
      <w:r>
        <w:t>vnih rezultata ostvarenih u 201</w:t>
      </w:r>
      <w:r w:rsidR="00697999">
        <w:t>6</w:t>
      </w:r>
      <w:r w:rsidRPr="00674F29">
        <w:t xml:space="preserve">. godini </w:t>
      </w:r>
      <w:r w:rsidRPr="00C863BF">
        <w:t>te ostvarenih rezultata u poslovanju u razdoblju I - IX 201</w:t>
      </w:r>
      <w:r w:rsidR="00697999">
        <w:t>7</w:t>
      </w:r>
      <w:r w:rsidRPr="00C863BF">
        <w:t>. godine.</w:t>
      </w: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Default="00273FD5" w:rsidP="00674F29">
      <w:pPr>
        <w:spacing w:after="0" w:line="240" w:lineRule="auto"/>
        <w:jc w:val="both"/>
      </w:pPr>
    </w:p>
    <w:p w:rsidR="00273FD5" w:rsidRPr="00674F29" w:rsidRDefault="00273FD5" w:rsidP="00674F29">
      <w:pPr>
        <w:spacing w:after="0" w:line="240" w:lineRule="auto"/>
        <w:jc w:val="both"/>
      </w:pPr>
    </w:p>
    <w:p w:rsidR="00AA3572" w:rsidRDefault="00AA3572" w:rsidP="00674F29">
      <w:pPr>
        <w:spacing w:after="0" w:line="240" w:lineRule="auto"/>
        <w:jc w:val="both"/>
      </w:pPr>
    </w:p>
    <w:p w:rsidR="009029B7" w:rsidRPr="00674F29" w:rsidRDefault="009029B7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3A6EE0" w:rsidP="00674F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1.</w:t>
      </w:r>
      <w:r w:rsidR="00C13F11">
        <w:rPr>
          <w:b/>
          <w:bCs/>
        </w:rPr>
        <w:t>2</w:t>
      </w:r>
      <w:r>
        <w:rPr>
          <w:b/>
          <w:bCs/>
        </w:rPr>
        <w:t>.</w:t>
      </w:r>
      <w:r w:rsidR="00AA3572" w:rsidRPr="00674F29">
        <w:rPr>
          <w:b/>
          <w:bCs/>
        </w:rPr>
        <w:t xml:space="preserve"> O STUDENTSKOM CENTRU</w:t>
      </w:r>
      <w:r w:rsidR="00273FD5">
        <w:rPr>
          <w:b/>
          <w:bCs/>
        </w:rPr>
        <w:t xml:space="preserve"> U ZAGREBU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>Studentski centar je neprofitna ustanova osnovana 1957. godine u Zagrebu, čija je osnovna djelatnost briga o studentskom standardu koji se ostvaruje kroz djelatnost studentskog smještaja, studentske prehrane i studentske kulture.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>Zakonom o visokim učilištima iz 1993. godine RH je prenijela vlasnička i osnivačka prava  nad Studentskim centrom na Sveučilište u Zagrebu.</w:t>
      </w:r>
    </w:p>
    <w:p w:rsidR="00AA3572" w:rsidRDefault="00AA3572" w:rsidP="00674F29">
      <w:pPr>
        <w:spacing w:after="0" w:line="240" w:lineRule="auto"/>
        <w:jc w:val="both"/>
      </w:pPr>
    </w:p>
    <w:p w:rsidR="0082299F" w:rsidRPr="00674F29" w:rsidRDefault="0082299F" w:rsidP="00674F29">
      <w:pPr>
        <w:spacing w:after="0" w:line="240" w:lineRule="auto"/>
        <w:jc w:val="both"/>
      </w:pPr>
    </w:p>
    <w:p w:rsidR="00AA3572" w:rsidRPr="004861C0" w:rsidRDefault="00AA3572" w:rsidP="00674F29">
      <w:pPr>
        <w:spacing w:after="0" w:line="240" w:lineRule="auto"/>
        <w:jc w:val="both"/>
      </w:pPr>
      <w:r w:rsidRPr="004861C0">
        <w:t xml:space="preserve">U Studentskom centru </w:t>
      </w:r>
      <w:r w:rsidR="000B5F49" w:rsidRPr="004861C0">
        <w:t>30</w:t>
      </w:r>
      <w:r w:rsidRPr="004861C0">
        <w:t>.1</w:t>
      </w:r>
      <w:r w:rsidR="000B5F49" w:rsidRPr="004861C0">
        <w:t>1</w:t>
      </w:r>
      <w:r w:rsidRPr="004861C0">
        <w:t>.201</w:t>
      </w:r>
      <w:r w:rsidR="002955B7" w:rsidRPr="004861C0">
        <w:t>7</w:t>
      </w:r>
      <w:r w:rsidRPr="004861C0">
        <w:t>. godine zaposleno je ukupno 9</w:t>
      </w:r>
      <w:r w:rsidR="001508F1" w:rsidRPr="004861C0">
        <w:t>6</w:t>
      </w:r>
      <w:r w:rsidR="00D31C0E" w:rsidRPr="004861C0">
        <w:t>8</w:t>
      </w:r>
      <w:r w:rsidRPr="004861C0">
        <w:t xml:space="preserve"> radnik</w:t>
      </w:r>
      <w:r w:rsidR="006364CD" w:rsidRPr="004861C0">
        <w:t xml:space="preserve">a čiji je </w:t>
      </w:r>
      <w:r w:rsidRPr="004861C0">
        <w:t>rad organiziran kroz sljedeće djelatnosti:</w:t>
      </w:r>
      <w:r w:rsidR="009D3176" w:rsidRPr="004861C0">
        <w:t xml:space="preserve"> </w:t>
      </w:r>
    </w:p>
    <w:p w:rsidR="009029B7" w:rsidRPr="004861C0" w:rsidRDefault="009029B7" w:rsidP="00674F29">
      <w:pPr>
        <w:spacing w:after="0" w:line="240" w:lineRule="auto"/>
        <w:jc w:val="both"/>
      </w:pPr>
    </w:p>
    <w:p w:rsidR="00AA3572" w:rsidRPr="004861C0" w:rsidRDefault="00AA3572" w:rsidP="00FB2B32">
      <w:pPr>
        <w:pStyle w:val="Odlomakpopisa"/>
        <w:numPr>
          <w:ilvl w:val="0"/>
          <w:numId w:val="6"/>
        </w:numPr>
        <w:jc w:val="both"/>
      </w:pPr>
      <w:r w:rsidRPr="004861C0">
        <w:t>Smještaj</w:t>
      </w:r>
    </w:p>
    <w:p w:rsidR="00AA3572" w:rsidRPr="004861C0" w:rsidRDefault="00AA3572" w:rsidP="00FB2B32">
      <w:pPr>
        <w:pStyle w:val="Odlomakpopisa"/>
        <w:numPr>
          <w:ilvl w:val="0"/>
          <w:numId w:val="6"/>
        </w:numPr>
        <w:jc w:val="both"/>
      </w:pPr>
      <w:r w:rsidRPr="004861C0">
        <w:t>Prehrana</w:t>
      </w:r>
    </w:p>
    <w:p w:rsidR="00AA3572" w:rsidRPr="004861C0" w:rsidRDefault="00AA3572" w:rsidP="00FB2B32">
      <w:pPr>
        <w:pStyle w:val="Odlomakpopisa"/>
        <w:numPr>
          <w:ilvl w:val="0"/>
          <w:numId w:val="6"/>
        </w:numPr>
        <w:jc w:val="both"/>
      </w:pPr>
      <w:r w:rsidRPr="004861C0">
        <w:t>Kultura</w:t>
      </w:r>
    </w:p>
    <w:p w:rsidR="00AA3572" w:rsidRPr="004861C0" w:rsidRDefault="00AA3572" w:rsidP="00FB2B32">
      <w:pPr>
        <w:pStyle w:val="Odlomakpopisa"/>
        <w:numPr>
          <w:ilvl w:val="0"/>
          <w:numId w:val="6"/>
        </w:numPr>
        <w:jc w:val="both"/>
      </w:pPr>
      <w:r w:rsidRPr="004861C0">
        <w:t xml:space="preserve">Financijski poslovi </w:t>
      </w:r>
    </w:p>
    <w:p w:rsidR="00AA3572" w:rsidRPr="004861C0" w:rsidRDefault="00AA3572" w:rsidP="00FB2B32">
      <w:pPr>
        <w:pStyle w:val="Odlomakpopisa"/>
        <w:numPr>
          <w:ilvl w:val="0"/>
          <w:numId w:val="6"/>
        </w:numPr>
        <w:jc w:val="both"/>
      </w:pPr>
      <w:r w:rsidRPr="004861C0">
        <w:t>Zajednički poslovi</w:t>
      </w:r>
    </w:p>
    <w:p w:rsidR="0082299F" w:rsidRDefault="004861C0" w:rsidP="00674F29">
      <w:pPr>
        <w:spacing w:after="0" w:line="240" w:lineRule="auto"/>
        <w:jc w:val="both"/>
      </w:pPr>
      <w:r>
        <w:t xml:space="preserve">U 2018.g. planira se novi ustroj Studentskog centra u Zagrebu, no kako još nisu poznati svi elementi reorganizacije poslovanja, plan za 2018.g.temelji se na postojećoj organizaciji i sistematizaciji. </w:t>
      </w:r>
    </w:p>
    <w:p w:rsidR="004861C0" w:rsidRDefault="004861C0" w:rsidP="00674F29">
      <w:pPr>
        <w:spacing w:after="0" w:line="240" w:lineRule="auto"/>
        <w:jc w:val="both"/>
      </w:pPr>
    </w:p>
    <w:p w:rsidR="00AA3572" w:rsidRPr="00A01CF7" w:rsidRDefault="006364CD" w:rsidP="00674F29">
      <w:pPr>
        <w:spacing w:after="0" w:line="240" w:lineRule="auto"/>
        <w:jc w:val="both"/>
      </w:pPr>
      <w:r w:rsidRPr="00A01CF7">
        <w:t>Brojnim a</w:t>
      </w:r>
      <w:r w:rsidR="00AA3572" w:rsidRPr="00A01CF7">
        <w:t>naliz</w:t>
      </w:r>
      <w:r w:rsidRPr="00A01CF7">
        <w:t>ama</w:t>
      </w:r>
      <w:r w:rsidR="00AA3572" w:rsidRPr="00A01CF7">
        <w:t xml:space="preserve"> poslovanja Studentskog centra u Zagrebu utvrđeno je da se ne mogu pokrivati troškovi koji nastaju njegovim poslovanjem. U 2013. godini su se uvjeti poslovanja za Studentski centar promijenili, usvojen je novi Pravilnik o prehrani te su usvojene nove cijene obroka. Očekivao se porast prihoda od prehrane nakon usvajanja novog Pravilnika, međutim došlo je do pada prometa u studentskim restoranima. </w:t>
      </w:r>
    </w:p>
    <w:p w:rsidR="00AA3572" w:rsidRPr="008B3E95" w:rsidRDefault="00AA3572" w:rsidP="00674F29">
      <w:pPr>
        <w:spacing w:after="0" w:line="240" w:lineRule="auto"/>
        <w:jc w:val="both"/>
        <w:rPr>
          <w:b/>
          <w:color w:val="FF0000"/>
        </w:rPr>
      </w:pPr>
      <w:r w:rsidRPr="00A01CF7">
        <w:t>Prihod student servisa, zbog primjene Bolonjskog procesa u visokom obrazovanju te globalne gospodarske krize u svijetu i u RH, od 2009. godine kontinuirano je padao do 2013., od kad se primjećuje za</w:t>
      </w:r>
      <w:r w:rsidR="00BC1BB7" w:rsidRPr="00A01CF7">
        <w:t>mjetan rast. P</w:t>
      </w:r>
      <w:r w:rsidRPr="00A01CF7">
        <w:t xml:space="preserve">rihod Student servisa </w:t>
      </w:r>
      <w:r w:rsidR="006013E1">
        <w:t>stabilno je</w:t>
      </w:r>
      <w:r w:rsidR="002955B7" w:rsidRPr="00A01CF7">
        <w:t xml:space="preserve"> rastao od 2014.g. do  2017.g. te</w:t>
      </w:r>
      <w:r w:rsidR="00BC1BB7" w:rsidRPr="00A01CF7">
        <w:t xml:space="preserve"> je na koncu 201</w:t>
      </w:r>
      <w:r w:rsidR="002955B7" w:rsidRPr="00A01CF7">
        <w:t>6</w:t>
      </w:r>
      <w:r w:rsidR="00BC1BB7" w:rsidRPr="00A01CF7">
        <w:t>. stopa rasta iznosila 5,</w:t>
      </w:r>
      <w:r w:rsidR="00A01CF7" w:rsidRPr="00A01CF7">
        <w:t>3</w:t>
      </w:r>
      <w:r w:rsidR="00BC1BB7" w:rsidRPr="00A01CF7">
        <w:t>%.</w:t>
      </w:r>
      <w:r w:rsidRPr="00A01CF7">
        <w:t xml:space="preserve"> U prvih 9 mjeseci 201</w:t>
      </w:r>
      <w:r w:rsidR="002955B7" w:rsidRPr="00A01CF7">
        <w:t>7</w:t>
      </w:r>
      <w:r w:rsidR="00BC1BB7" w:rsidRPr="00A01CF7">
        <w:t xml:space="preserve">. rast je nastavljen po </w:t>
      </w:r>
      <w:r w:rsidRPr="00A01CF7">
        <w:t>stop</w:t>
      </w:r>
      <w:r w:rsidR="00BC1BB7" w:rsidRPr="00A01CF7">
        <w:t xml:space="preserve">i od </w:t>
      </w:r>
      <w:r w:rsidR="00A01CF7" w:rsidRPr="00A01CF7">
        <w:t>3,9</w:t>
      </w:r>
      <w:r w:rsidRPr="00A01CF7">
        <w:t xml:space="preserve"> %.</w:t>
      </w:r>
      <w:r>
        <w:t xml:space="preserve">  </w:t>
      </w:r>
    </w:p>
    <w:p w:rsidR="00AA3572" w:rsidRDefault="00AA3572" w:rsidP="00674F29">
      <w:pPr>
        <w:spacing w:after="0" w:line="240" w:lineRule="auto"/>
        <w:jc w:val="both"/>
      </w:pPr>
    </w:p>
    <w:p w:rsidR="009029B7" w:rsidRDefault="009029B7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C13F11" w:rsidP="00674F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1.3</w:t>
      </w:r>
      <w:r w:rsidR="00AA3572" w:rsidRPr="00674F29">
        <w:rPr>
          <w:b/>
          <w:bCs/>
        </w:rPr>
        <w:t>. FINANCIRANJE DJELATNOSTI STUDENTSKOG CENTRA</w:t>
      </w:r>
    </w:p>
    <w:p w:rsidR="00AA3572" w:rsidRPr="00674F29" w:rsidRDefault="00AA3572" w:rsidP="00674F29">
      <w:pPr>
        <w:spacing w:after="0" w:line="240" w:lineRule="auto"/>
        <w:jc w:val="both"/>
      </w:pPr>
    </w:p>
    <w:p w:rsidR="0089738F" w:rsidRPr="00674F29" w:rsidRDefault="00AA3572" w:rsidP="00674F29">
      <w:pPr>
        <w:spacing w:after="0" w:line="240" w:lineRule="auto"/>
        <w:jc w:val="both"/>
      </w:pPr>
      <w:r w:rsidRPr="00674F29">
        <w:t>Prihode za obavljanje svojih djelatnosti Studentski centar ostvaruje</w:t>
      </w:r>
      <w:r w:rsidR="00203E24">
        <w:t xml:space="preserve"> od</w:t>
      </w:r>
      <w:r w:rsidRPr="00674F29">
        <w:t>:</w:t>
      </w:r>
    </w:p>
    <w:p w:rsidR="00AA3572" w:rsidRPr="00674F29" w:rsidRDefault="00AA3572" w:rsidP="00674F29">
      <w:pPr>
        <w:spacing w:after="0" w:line="240" w:lineRule="auto"/>
        <w:jc w:val="both"/>
      </w:pPr>
    </w:p>
    <w:p w:rsidR="0089738F" w:rsidRDefault="0089738F" w:rsidP="00FB6FCA">
      <w:pPr>
        <w:numPr>
          <w:ilvl w:val="0"/>
          <w:numId w:val="1"/>
        </w:numPr>
        <w:spacing w:after="0" w:line="240" w:lineRule="auto"/>
        <w:jc w:val="both"/>
      </w:pPr>
      <w:r w:rsidRPr="0089738F">
        <w:rPr>
          <w:b/>
        </w:rPr>
        <w:t xml:space="preserve">prodaje proizvoda i </w:t>
      </w:r>
      <w:r>
        <w:rPr>
          <w:b/>
        </w:rPr>
        <w:t xml:space="preserve">pružanja </w:t>
      </w:r>
      <w:r w:rsidRPr="0089738F">
        <w:rPr>
          <w:b/>
        </w:rPr>
        <w:t>usluga</w:t>
      </w:r>
      <w:r>
        <w:t xml:space="preserve"> uključujući i studentske participacije za prehranu i smještaj (31)</w:t>
      </w:r>
    </w:p>
    <w:p w:rsidR="0089738F" w:rsidRDefault="0089738F" w:rsidP="0089738F">
      <w:pPr>
        <w:numPr>
          <w:ilvl w:val="0"/>
          <w:numId w:val="1"/>
        </w:numPr>
        <w:spacing w:after="0" w:line="240" w:lineRule="auto"/>
        <w:jc w:val="both"/>
      </w:pPr>
      <w:r w:rsidRPr="0089738F">
        <w:rPr>
          <w:b/>
        </w:rPr>
        <w:t>članarina i članskih doprinosa</w:t>
      </w:r>
      <w:r>
        <w:t xml:space="preserve"> odnosno od pružanj</w:t>
      </w:r>
      <w:r w:rsidR="00201149">
        <w:t>a</w:t>
      </w:r>
      <w:r>
        <w:t xml:space="preserve"> </w:t>
      </w:r>
      <w:r w:rsidRPr="00674F29">
        <w:t>usluga posredovanja pri povremenom i privremenom zapošljavanju studenata</w:t>
      </w:r>
      <w:r w:rsidR="00201149">
        <w:t xml:space="preserve"> (32)</w:t>
      </w:r>
    </w:p>
    <w:p w:rsidR="00AA3572" w:rsidRPr="00674F29" w:rsidRDefault="00AA3572" w:rsidP="00FB6FCA">
      <w:pPr>
        <w:numPr>
          <w:ilvl w:val="0"/>
          <w:numId w:val="1"/>
        </w:numPr>
        <w:spacing w:after="0" w:line="240" w:lineRule="auto"/>
        <w:jc w:val="both"/>
      </w:pPr>
      <w:r w:rsidRPr="00674F29">
        <w:t>subvencija i drugih oblika potpora koje za studente osigurava</w:t>
      </w:r>
      <w:r w:rsidR="00201149">
        <w:t>ju</w:t>
      </w:r>
      <w:r w:rsidRPr="00674F29">
        <w:t xml:space="preserve"> nadležno ministarstvo</w:t>
      </w:r>
      <w:r w:rsidR="0089738F">
        <w:t xml:space="preserve"> </w:t>
      </w:r>
      <w:r w:rsidR="00201149">
        <w:t xml:space="preserve">kao i druga državna tijela i jedinice lokalne samouprave što su u biti </w:t>
      </w:r>
      <w:r w:rsidR="0089738F" w:rsidRPr="00201149">
        <w:rPr>
          <w:b/>
        </w:rPr>
        <w:t>prihodi po posebnim propisima</w:t>
      </w:r>
      <w:r w:rsidR="00201149">
        <w:rPr>
          <w:b/>
        </w:rPr>
        <w:t xml:space="preserve"> </w:t>
      </w:r>
      <w:r w:rsidR="00201149">
        <w:t>(33</w:t>
      </w:r>
      <w:r w:rsidR="0089738F">
        <w:t>)</w:t>
      </w:r>
    </w:p>
    <w:p w:rsidR="00AA3572" w:rsidRPr="00674F29" w:rsidRDefault="00201149" w:rsidP="00FB6FCA">
      <w:pPr>
        <w:numPr>
          <w:ilvl w:val="0"/>
          <w:numId w:val="1"/>
        </w:numPr>
        <w:spacing w:after="0" w:line="240" w:lineRule="auto"/>
        <w:jc w:val="both"/>
      </w:pPr>
      <w:r w:rsidRPr="00201149">
        <w:rPr>
          <w:b/>
        </w:rPr>
        <w:lastRenderedPageBreak/>
        <w:t>imovine</w:t>
      </w:r>
      <w:r>
        <w:t xml:space="preserve"> tj. prihodi od </w:t>
      </w:r>
      <w:r w:rsidR="00AA3572" w:rsidRPr="00674F29">
        <w:t>iznajmljivanja smještajnog i poslovnog prostora</w:t>
      </w:r>
      <w:r>
        <w:t>, aktivne kamate, dividende i sl. (34)</w:t>
      </w:r>
    </w:p>
    <w:p w:rsidR="00201149" w:rsidRPr="00674F29" w:rsidRDefault="00201149" w:rsidP="00201149">
      <w:pPr>
        <w:numPr>
          <w:ilvl w:val="0"/>
          <w:numId w:val="1"/>
        </w:numPr>
        <w:spacing w:after="0" w:line="240" w:lineRule="auto"/>
        <w:jc w:val="both"/>
      </w:pPr>
      <w:r w:rsidRPr="00201149">
        <w:rPr>
          <w:b/>
        </w:rPr>
        <w:t>donacija</w:t>
      </w:r>
      <w:r>
        <w:rPr>
          <w:b/>
        </w:rPr>
        <w:t xml:space="preserve"> </w:t>
      </w:r>
      <w:r w:rsidRPr="00201149">
        <w:t>iz državnog proračuna</w:t>
      </w:r>
      <w:r w:rsidRPr="00674F29">
        <w:t xml:space="preserve"> u skladu s Odlukom o sanaciji Studentskog centra</w:t>
      </w:r>
      <w:r>
        <w:t xml:space="preserve">, donacija lokalne samouprave i drugih inozemnih i domaćih institucija i pravnih osoba (35) </w:t>
      </w:r>
      <w:r w:rsidRPr="00674F29">
        <w:t xml:space="preserve"> </w:t>
      </w:r>
    </w:p>
    <w:p w:rsidR="00AA3572" w:rsidRPr="00674F29" w:rsidRDefault="00AA3572" w:rsidP="00FB6FCA">
      <w:pPr>
        <w:numPr>
          <w:ilvl w:val="0"/>
          <w:numId w:val="1"/>
        </w:numPr>
        <w:spacing w:after="0" w:line="240" w:lineRule="auto"/>
        <w:jc w:val="both"/>
      </w:pPr>
      <w:r w:rsidRPr="00201149">
        <w:rPr>
          <w:b/>
        </w:rPr>
        <w:t xml:space="preserve"> os</w:t>
      </w:r>
      <w:r w:rsidR="00201149" w:rsidRPr="00201149">
        <w:rPr>
          <w:b/>
        </w:rPr>
        <w:t>tali</w:t>
      </w:r>
      <w:r w:rsidR="00203E24">
        <w:rPr>
          <w:b/>
        </w:rPr>
        <w:t xml:space="preserve"> </w:t>
      </w:r>
      <w:r w:rsidR="00201149" w:rsidRPr="00201149">
        <w:rPr>
          <w:b/>
        </w:rPr>
        <w:t xml:space="preserve"> izvor</w:t>
      </w:r>
      <w:r w:rsidR="00203E24">
        <w:rPr>
          <w:b/>
        </w:rPr>
        <w:t>i prihoda</w:t>
      </w:r>
      <w:r w:rsidR="00201149">
        <w:t xml:space="preserve"> (36)</w:t>
      </w:r>
    </w:p>
    <w:p w:rsidR="00AA3572" w:rsidRDefault="00AA3572" w:rsidP="00674F29">
      <w:pPr>
        <w:spacing w:after="0" w:line="240" w:lineRule="auto"/>
        <w:jc w:val="both"/>
      </w:pPr>
    </w:p>
    <w:p w:rsidR="00AA3572" w:rsidRDefault="00AA3572" w:rsidP="00674F29">
      <w:pPr>
        <w:spacing w:after="0" w:line="240" w:lineRule="auto"/>
        <w:jc w:val="both"/>
      </w:pPr>
    </w:p>
    <w:p w:rsidR="009029B7" w:rsidRPr="00674F29" w:rsidRDefault="009029B7" w:rsidP="00674F29">
      <w:pPr>
        <w:spacing w:after="0" w:line="240" w:lineRule="auto"/>
        <w:jc w:val="both"/>
      </w:pPr>
    </w:p>
    <w:p w:rsidR="00AA3572" w:rsidRPr="00674F29" w:rsidRDefault="003A6EE0" w:rsidP="00674F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1.</w:t>
      </w:r>
      <w:r w:rsidR="00C13F11">
        <w:rPr>
          <w:b/>
          <w:bCs/>
        </w:rPr>
        <w:t>4</w:t>
      </w:r>
      <w:r w:rsidR="00AA3572" w:rsidRPr="00674F29">
        <w:rPr>
          <w:b/>
          <w:bCs/>
        </w:rPr>
        <w:t xml:space="preserve">. ZAKONSKA OSNOVA POSLOVANJA STUDENTSKOG CENTRA U ZAGREBU </w:t>
      </w:r>
    </w:p>
    <w:p w:rsidR="00AA3572" w:rsidRPr="00674F29" w:rsidRDefault="00AA3572" w:rsidP="00674F29">
      <w:pPr>
        <w:spacing w:after="0" w:line="240" w:lineRule="auto"/>
        <w:jc w:val="both"/>
      </w:pPr>
    </w:p>
    <w:p w:rsidR="00AA3572" w:rsidRPr="00674F29" w:rsidRDefault="00AA3572" w:rsidP="00674F29">
      <w:pPr>
        <w:spacing w:after="0" w:line="240" w:lineRule="auto"/>
        <w:jc w:val="both"/>
      </w:pPr>
      <w:r w:rsidRPr="00674F29">
        <w:t>Zakonsko poslovanje temelji se na: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sanaciji studentskih centara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Odluci o sanaciji Studentskog centa u Zagrebu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znanstvenoj djelatnosti i visokom obrazovanju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>
        <w:t>Pravilniku o subvencioniranoj prehrani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>
        <w:t>Zakonu o fiskalizaciji u prometu gotovinom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Državnom proračunu Republike Hrvatske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 xml:space="preserve">Zakonu o izvršenju državnog proračuna RH 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9A7C55">
        <w:t>Pravilnik o posredovanju pri za</w:t>
      </w:r>
      <w:r>
        <w:t xml:space="preserve">pošljavanju redovnih studenata 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računovodstvu</w:t>
      </w:r>
    </w:p>
    <w:p w:rsidR="00AA3572" w:rsidRDefault="00AA3572" w:rsidP="009A7C55">
      <w:pPr>
        <w:numPr>
          <w:ilvl w:val="0"/>
          <w:numId w:val="2"/>
        </w:numPr>
        <w:spacing w:after="0" w:line="240" w:lineRule="auto"/>
        <w:jc w:val="both"/>
      </w:pPr>
      <w:r w:rsidRPr="00674F29">
        <w:t>Pravilniku o računovodstvu  i računovodstvenom planu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>
        <w:t>Zakonu o financijskom poslovanju i</w:t>
      </w:r>
      <w:r w:rsidRPr="00674F29">
        <w:t xml:space="preserve"> računovodstvu neprofitnih organizacija 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>
        <w:t>Pravilniku o neprofitnom računovodstvu i Računskom planu</w:t>
      </w:r>
    </w:p>
    <w:p w:rsidR="00AA3572" w:rsidRDefault="00AA3572" w:rsidP="009A7C55">
      <w:pPr>
        <w:numPr>
          <w:ilvl w:val="0"/>
          <w:numId w:val="2"/>
        </w:numPr>
        <w:spacing w:after="0" w:line="240" w:lineRule="auto"/>
        <w:jc w:val="both"/>
      </w:pPr>
      <w:r>
        <w:t>Pravilniku o izvještavanju u neprofitnom računovodstvu i Registru neprofitnih organizacija</w:t>
      </w:r>
    </w:p>
    <w:p w:rsidR="00AA3572" w:rsidRPr="000505B3" w:rsidRDefault="00AA3572" w:rsidP="000505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0505B3">
        <w:rPr>
          <w:bCs/>
        </w:rPr>
        <w:t>Pravilniku o sustavu FIUK te izradi i izvršavanju</w:t>
      </w:r>
      <w:r>
        <w:rPr>
          <w:bCs/>
        </w:rPr>
        <w:t xml:space="preserve"> fi</w:t>
      </w:r>
      <w:r w:rsidRPr="000505B3">
        <w:rPr>
          <w:bCs/>
        </w:rPr>
        <w:t>nancijskih planova neprofitnih organizacija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državnoj reviziji</w:t>
      </w:r>
    </w:p>
    <w:p w:rsidR="00AA3572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PDV-u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>
        <w:t>Zakonu o porezu na dobit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Zakonu o javnoj nabavi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 xml:space="preserve">Zakonu o kazalištu 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Statutu Studentskog centra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>Statutu Sveučilišta u Zagrebu</w:t>
      </w:r>
    </w:p>
    <w:p w:rsidR="00AA3572" w:rsidRPr="00674F29" w:rsidRDefault="00AA3572" w:rsidP="00FB6FCA">
      <w:pPr>
        <w:numPr>
          <w:ilvl w:val="0"/>
          <w:numId w:val="2"/>
        </w:numPr>
        <w:spacing w:after="0" w:line="240" w:lineRule="auto"/>
        <w:jc w:val="both"/>
      </w:pPr>
      <w:r w:rsidRPr="00674F29">
        <w:t xml:space="preserve">ostalim pratećim zakonskim i drugim aktima </w:t>
      </w:r>
    </w:p>
    <w:p w:rsidR="00AA3572" w:rsidRPr="00674F29" w:rsidRDefault="00AA3572" w:rsidP="00C863BF">
      <w:pPr>
        <w:spacing w:after="0" w:line="240" w:lineRule="auto"/>
        <w:jc w:val="both"/>
      </w:pPr>
    </w:p>
    <w:p w:rsidR="001508F1" w:rsidRDefault="001508F1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9F6B4A" w:rsidRDefault="009F6B4A" w:rsidP="00C863BF">
      <w:pPr>
        <w:spacing w:after="0" w:line="240" w:lineRule="auto"/>
        <w:jc w:val="both"/>
        <w:rPr>
          <w:b/>
          <w:bCs/>
        </w:rPr>
      </w:pPr>
    </w:p>
    <w:p w:rsidR="002D4985" w:rsidRDefault="002D4985" w:rsidP="00C863BF">
      <w:pPr>
        <w:spacing w:after="0" w:line="240" w:lineRule="auto"/>
        <w:jc w:val="both"/>
        <w:rPr>
          <w:b/>
          <w:bCs/>
        </w:rPr>
      </w:pPr>
    </w:p>
    <w:p w:rsidR="009029B7" w:rsidRDefault="009029B7" w:rsidP="00C863BF">
      <w:pPr>
        <w:spacing w:after="0" w:line="240" w:lineRule="auto"/>
        <w:jc w:val="both"/>
        <w:rPr>
          <w:b/>
          <w:bCs/>
        </w:rPr>
      </w:pPr>
    </w:p>
    <w:p w:rsidR="00AA3572" w:rsidRPr="00807357" w:rsidRDefault="003A6EE0" w:rsidP="00C863BF">
      <w:pPr>
        <w:spacing w:after="0" w:line="240" w:lineRule="auto"/>
        <w:jc w:val="both"/>
        <w:rPr>
          <w:b/>
          <w:bCs/>
        </w:rPr>
      </w:pPr>
      <w:r w:rsidRPr="00807357">
        <w:rPr>
          <w:b/>
          <w:bCs/>
        </w:rPr>
        <w:lastRenderedPageBreak/>
        <w:t>1.</w:t>
      </w:r>
      <w:r w:rsidR="00C13F11">
        <w:rPr>
          <w:b/>
          <w:bCs/>
        </w:rPr>
        <w:t>5</w:t>
      </w:r>
      <w:r w:rsidRPr="00807357">
        <w:rPr>
          <w:b/>
          <w:bCs/>
        </w:rPr>
        <w:t>.</w:t>
      </w:r>
      <w:r w:rsidR="00807357" w:rsidRPr="00807357">
        <w:rPr>
          <w:b/>
          <w:bCs/>
        </w:rPr>
        <w:t xml:space="preserve"> </w:t>
      </w:r>
      <w:r w:rsidR="00AA3572" w:rsidRPr="00807357">
        <w:rPr>
          <w:b/>
          <w:bCs/>
        </w:rPr>
        <w:t xml:space="preserve"> LJUDSKI RESURSI</w:t>
      </w:r>
    </w:p>
    <w:p w:rsidR="009029B7" w:rsidRDefault="009029B7" w:rsidP="00674F29">
      <w:pPr>
        <w:spacing w:after="0" w:line="240" w:lineRule="auto"/>
        <w:jc w:val="both"/>
      </w:pPr>
    </w:p>
    <w:p w:rsidR="009029B7" w:rsidRPr="00BD3566" w:rsidRDefault="008C366E" w:rsidP="00674F29">
      <w:pPr>
        <w:spacing w:after="0" w:line="240" w:lineRule="auto"/>
        <w:jc w:val="both"/>
      </w:pPr>
      <w:r>
        <w:t>Ukupan broj zaposlenih na dan 30</w:t>
      </w:r>
      <w:r w:rsidR="00AA3572" w:rsidRPr="002D20AB">
        <w:t>.1</w:t>
      </w:r>
      <w:r>
        <w:t>1</w:t>
      </w:r>
      <w:r w:rsidR="00AA3572" w:rsidRPr="002D20AB">
        <w:t>.201</w:t>
      </w:r>
      <w:r w:rsidR="00636741">
        <w:t>7</w:t>
      </w:r>
      <w:r w:rsidR="00AA3572" w:rsidRPr="002D20AB">
        <w:t xml:space="preserve">. godine je </w:t>
      </w:r>
      <w:r w:rsidR="00AA3572" w:rsidRPr="00D31C0E">
        <w:t>9</w:t>
      </w:r>
      <w:r w:rsidR="009B30D2" w:rsidRPr="00D31C0E">
        <w:t>6</w:t>
      </w:r>
      <w:r w:rsidR="00D31C0E" w:rsidRPr="00D31C0E">
        <w:t>8</w:t>
      </w:r>
      <w:r w:rsidR="00AA3572" w:rsidRPr="00D31C0E">
        <w:t xml:space="preserve"> radnik</w:t>
      </w:r>
      <w:r w:rsidR="009B30D2" w:rsidRPr="00D31C0E">
        <w:t>a</w:t>
      </w:r>
      <w:r w:rsidR="00AA3572" w:rsidRPr="00D31C0E">
        <w:t xml:space="preserve">, </w:t>
      </w:r>
      <w:r w:rsidR="00AA3572" w:rsidRPr="00BD3566">
        <w:t xml:space="preserve">od čega </w:t>
      </w:r>
      <w:r w:rsidR="009B30D2" w:rsidRPr="00BD3566">
        <w:t xml:space="preserve">su </w:t>
      </w:r>
      <w:r w:rsidR="00D31C0E" w:rsidRPr="00BD3566">
        <w:t>71</w:t>
      </w:r>
      <w:r w:rsidR="009B30D2" w:rsidRPr="00BD3566">
        <w:t xml:space="preserve"> radnika</w:t>
      </w:r>
      <w:r w:rsidR="00AA3572" w:rsidRPr="00BD3566">
        <w:t xml:space="preserve"> na određeno vrijeme</w:t>
      </w:r>
      <w:r w:rsidR="00486257" w:rsidRPr="00BD3566">
        <w:t xml:space="preserve">, a </w:t>
      </w:r>
      <w:r w:rsidR="00E72F4B" w:rsidRPr="00BD3566">
        <w:t xml:space="preserve">kadrovska </w:t>
      </w:r>
      <w:r w:rsidR="009B30D2" w:rsidRPr="00BD3566">
        <w:t>struktura je kako slijedi:</w:t>
      </w:r>
    </w:p>
    <w:p w:rsidR="002D4985" w:rsidRPr="00BD3566" w:rsidRDefault="002D4985" w:rsidP="00674F29">
      <w:pPr>
        <w:spacing w:after="0" w:line="240" w:lineRule="auto"/>
        <w:jc w:val="both"/>
      </w:pPr>
    </w:p>
    <w:p w:rsidR="009B30D2" w:rsidRDefault="009B30D2" w:rsidP="00674F29">
      <w:pPr>
        <w:spacing w:after="0" w:line="240" w:lineRule="auto"/>
        <w:jc w:val="both"/>
      </w:pPr>
    </w:p>
    <w:tbl>
      <w:tblPr>
        <w:tblW w:w="10256" w:type="dxa"/>
        <w:tblInd w:w="93" w:type="dxa"/>
        <w:tblLook w:val="04A0" w:firstRow="1" w:lastRow="0" w:firstColumn="1" w:lastColumn="0" w:noHBand="0" w:noVBand="1"/>
      </w:tblPr>
      <w:tblGrid>
        <w:gridCol w:w="1943"/>
        <w:gridCol w:w="514"/>
        <w:gridCol w:w="533"/>
        <w:gridCol w:w="555"/>
        <w:gridCol w:w="476"/>
        <w:gridCol w:w="551"/>
        <w:gridCol w:w="569"/>
        <w:gridCol w:w="597"/>
        <w:gridCol w:w="476"/>
        <w:gridCol w:w="584"/>
        <w:gridCol w:w="612"/>
        <w:gridCol w:w="552"/>
        <w:gridCol w:w="571"/>
        <w:gridCol w:w="620"/>
        <w:gridCol w:w="649"/>
        <w:gridCol w:w="590"/>
      </w:tblGrid>
      <w:tr w:rsidR="004D25F7" w:rsidRPr="002E246D" w:rsidTr="004D25F7">
        <w:trPr>
          <w:trHeight w:val="332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Naziv djelatnosti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DR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MR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VSS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VS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SSS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NSS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VKV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KV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PKV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NKV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Ž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M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Odr.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Neo.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Uk.</w:t>
            </w:r>
          </w:p>
        </w:tc>
      </w:tr>
      <w:tr w:rsidR="002E246D" w:rsidRPr="002E246D" w:rsidTr="00CD52E7">
        <w:trPr>
          <w:trHeight w:val="31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URED RAVNATELJA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</w:t>
            </w:r>
          </w:p>
        </w:tc>
      </w:tr>
      <w:tr w:rsidR="002E246D" w:rsidRPr="002E246D" w:rsidTr="00CD52E7">
        <w:trPr>
          <w:trHeight w:val="31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SMJEŠTAJ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145</w:t>
            </w:r>
          </w:p>
        </w:tc>
      </w:tr>
      <w:tr w:rsidR="002E246D" w:rsidRPr="002E246D" w:rsidTr="00CD52E7">
        <w:trPr>
          <w:trHeight w:val="31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PREHRANA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504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566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603</w:t>
            </w:r>
          </w:p>
        </w:tc>
      </w:tr>
      <w:tr w:rsidR="002E246D" w:rsidRPr="002E246D" w:rsidTr="00CD52E7">
        <w:trPr>
          <w:trHeight w:val="31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KULTURA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43</w:t>
            </w:r>
          </w:p>
        </w:tc>
      </w:tr>
      <w:tr w:rsidR="002E246D" w:rsidRPr="002E246D" w:rsidTr="00CD52E7">
        <w:trPr>
          <w:trHeight w:val="31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FINANCIJSKI POSLOVI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E246D">
              <w:rPr>
                <w:rFonts w:eastAsia="Times New Roman"/>
                <w:color w:val="000000"/>
              </w:rPr>
              <w:t>43</w:t>
            </w:r>
          </w:p>
        </w:tc>
      </w:tr>
      <w:tr w:rsidR="00CD52E7" w:rsidRPr="003E51EB" w:rsidTr="00CD52E7">
        <w:trPr>
          <w:trHeight w:val="3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ZAJEDNIČKI POSLOVI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67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129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</w:rPr>
            </w:pPr>
            <w:r w:rsidRPr="002E246D">
              <w:rPr>
                <w:rFonts w:eastAsia="Times New Roman"/>
                <w:bCs/>
                <w:color w:val="000000"/>
              </w:rPr>
              <w:t>131</w:t>
            </w:r>
          </w:p>
        </w:tc>
      </w:tr>
      <w:tr w:rsidR="004D25F7" w:rsidRPr="002E246D" w:rsidTr="004D25F7">
        <w:trPr>
          <w:trHeight w:val="332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UKUPNO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63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35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506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91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51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720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248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71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897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E246D" w:rsidRPr="002E246D" w:rsidRDefault="002E246D" w:rsidP="002E246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2E246D">
              <w:rPr>
                <w:rFonts w:eastAsia="Times New Roman"/>
                <w:b/>
                <w:color w:val="000000"/>
              </w:rPr>
              <w:t>968</w:t>
            </w:r>
          </w:p>
        </w:tc>
      </w:tr>
    </w:tbl>
    <w:p w:rsidR="009029B7" w:rsidRDefault="009029B7" w:rsidP="002D20AB">
      <w:pPr>
        <w:spacing w:after="0" w:line="240" w:lineRule="auto"/>
      </w:pPr>
    </w:p>
    <w:p w:rsidR="0082299F" w:rsidRDefault="0082299F" w:rsidP="002D20AB">
      <w:pPr>
        <w:spacing w:after="0" w:line="240" w:lineRule="auto"/>
      </w:pPr>
    </w:p>
    <w:p w:rsidR="0082299F" w:rsidRDefault="0082299F" w:rsidP="002D20AB">
      <w:pPr>
        <w:spacing w:after="0" w:line="240" w:lineRule="auto"/>
      </w:pPr>
    </w:p>
    <w:p w:rsidR="0082299F" w:rsidRDefault="0082299F" w:rsidP="002D20AB">
      <w:pPr>
        <w:spacing w:after="0" w:line="240" w:lineRule="auto"/>
      </w:pPr>
    </w:p>
    <w:p w:rsidR="002D4985" w:rsidRDefault="002D4985" w:rsidP="002D20AB">
      <w:pPr>
        <w:spacing w:after="0" w:line="240" w:lineRule="auto"/>
      </w:pPr>
    </w:p>
    <w:p w:rsidR="00AA3572" w:rsidRPr="00BD3566" w:rsidRDefault="009B30D2" w:rsidP="002D20AB">
      <w:pPr>
        <w:spacing w:after="0" w:line="240" w:lineRule="auto"/>
      </w:pPr>
      <w:r>
        <w:t>Na početku sanacije, Studentski centar je zapošljavao 1015 radni</w:t>
      </w:r>
      <w:r w:rsidR="001508F1">
        <w:t>ka te je evidentno smanjivanje</w:t>
      </w:r>
      <w:r w:rsidR="00486257">
        <w:t xml:space="preserve"> broja radnika</w:t>
      </w:r>
      <w:r w:rsidR="00486257" w:rsidRPr="003E28DE">
        <w:t xml:space="preserve">. </w:t>
      </w:r>
      <w:r w:rsidR="00486257" w:rsidRPr="00BD3566">
        <w:t>Ukupan broj zaposlenih smanjen je za 4,</w:t>
      </w:r>
      <w:r w:rsidR="003E28DE" w:rsidRPr="00BD3566">
        <w:t xml:space="preserve">6 </w:t>
      </w:r>
      <w:r w:rsidR="00486257" w:rsidRPr="00BD3566">
        <w:t xml:space="preserve">%, s tim da je broj zaposlenih na neodređeno vrijeme </w:t>
      </w:r>
      <w:r w:rsidR="001508F1" w:rsidRPr="00BD3566">
        <w:t xml:space="preserve">smanjen za </w:t>
      </w:r>
      <w:r w:rsidR="00BD3566" w:rsidRPr="00BD3566">
        <w:t>9</w:t>
      </w:r>
      <w:r w:rsidR="001508F1" w:rsidRPr="00BD3566">
        <w:t xml:space="preserve"> %</w:t>
      </w:r>
      <w:r w:rsidR="00E718ED" w:rsidRPr="00BD3566">
        <w:t xml:space="preserve">, isključivo </w:t>
      </w:r>
      <w:r w:rsidR="001508F1" w:rsidRPr="00BD3566">
        <w:t>prirodnim odljevom.</w:t>
      </w:r>
      <w:r w:rsidR="00AA3572" w:rsidRPr="00BD3566">
        <w:t xml:space="preserve"> </w:t>
      </w:r>
    </w:p>
    <w:p w:rsidR="00EC7FBE" w:rsidRPr="00BD3566" w:rsidRDefault="00EC7FBE" w:rsidP="002D20AB">
      <w:pPr>
        <w:spacing w:after="0" w:line="240" w:lineRule="auto"/>
      </w:pPr>
    </w:p>
    <w:p w:rsidR="00AA3572" w:rsidRDefault="00AA3572" w:rsidP="00674F29">
      <w:pPr>
        <w:spacing w:after="0" w:line="240" w:lineRule="auto"/>
        <w:jc w:val="both"/>
        <w:rPr>
          <w:color w:val="FF0000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318"/>
        <w:gridCol w:w="1815"/>
        <w:gridCol w:w="465"/>
        <w:gridCol w:w="496"/>
        <w:gridCol w:w="514"/>
        <w:gridCol w:w="422"/>
        <w:gridCol w:w="521"/>
        <w:gridCol w:w="529"/>
        <w:gridCol w:w="547"/>
        <w:gridCol w:w="434"/>
        <w:gridCol w:w="537"/>
        <w:gridCol w:w="563"/>
        <w:gridCol w:w="521"/>
        <w:gridCol w:w="521"/>
        <w:gridCol w:w="623"/>
        <w:gridCol w:w="656"/>
        <w:gridCol w:w="711"/>
      </w:tblGrid>
      <w:tr w:rsidR="001508F1" w:rsidRPr="001508F1" w:rsidTr="004C5EF9">
        <w:trPr>
          <w:trHeight w:val="295"/>
        </w:trPr>
        <w:tc>
          <w:tcPr>
            <w:tcW w:w="10093" w:type="dxa"/>
            <w:gridSpan w:val="1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Stanje kadrova na 31.12.2012.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Times New Roman" w:cs="Arial"/>
                <w:b/>
                <w:bCs/>
                <w:sz w:val="20"/>
                <w:szCs w:val="20"/>
              </w:rPr>
              <w:t>Naziv djelatnosti/sektora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DR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MR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VSS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VS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SSS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NSS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VKV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KV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PKV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NKV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Odre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Neod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Ukup.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sz w:val="20"/>
                <w:szCs w:val="20"/>
              </w:rPr>
              <w:t xml:space="preserve">URED </w:t>
            </w:r>
            <w:r w:rsidRPr="001508F1">
              <w:rPr>
                <w:rFonts w:eastAsia="Arial Unicode MS" w:cs="Arial"/>
                <w:sz w:val="20"/>
                <w:szCs w:val="20"/>
              </w:rPr>
              <w:t>RAVNATELJ</w:t>
            </w:r>
            <w:r>
              <w:rPr>
                <w:rFonts w:eastAsia="Arial Unicode MS" w:cs="Arial"/>
                <w:sz w:val="20"/>
                <w:szCs w:val="20"/>
              </w:rPr>
              <w:t>A</w:t>
            </w:r>
            <w:r w:rsidRPr="001508F1">
              <w:rPr>
                <w:rFonts w:eastAsia="Arial Unicode MS" w:cs="Arial"/>
                <w:sz w:val="20"/>
                <w:szCs w:val="20"/>
              </w:rPr>
              <w:t xml:space="preserve"> SC-a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3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SMJEŠTAJ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143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PREHRANA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587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KULTURA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53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ZAJEDNIČKI POSLOVI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163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GOSPODARSKI POSLOVI</w:t>
            </w:r>
            <w:r w:rsidR="00A06FAE">
              <w:rPr>
                <w:rFonts w:eastAsia="Arial Unicode MS" w:cs="Arial"/>
                <w:sz w:val="20"/>
                <w:szCs w:val="20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22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 xml:space="preserve"> FINANCIJSKI POSLOVI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508F1">
              <w:rPr>
                <w:rFonts w:eastAsia="Arial Unicode MS" w:cs="Arial"/>
                <w:sz w:val="20"/>
                <w:szCs w:val="20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44</w:t>
            </w:r>
          </w:p>
        </w:tc>
      </w:tr>
      <w:tr w:rsidR="004C5EF9" w:rsidRPr="001508F1" w:rsidTr="004C5EF9">
        <w:trPr>
          <w:trHeight w:val="295"/>
        </w:trPr>
        <w:tc>
          <w:tcPr>
            <w:tcW w:w="3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 </w:t>
            </w:r>
            <w:r>
              <w:rPr>
                <w:rFonts w:eastAsia="Arial Unicode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508F1" w:rsidRPr="001508F1" w:rsidRDefault="001508F1" w:rsidP="001508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508F1">
              <w:rPr>
                <w:rFonts w:eastAsia="Arial Unicode MS" w:cs="Arial"/>
                <w:b/>
                <w:bCs/>
                <w:sz w:val="20"/>
                <w:szCs w:val="20"/>
              </w:rPr>
              <w:t>1015</w:t>
            </w:r>
          </w:p>
        </w:tc>
      </w:tr>
    </w:tbl>
    <w:p w:rsidR="00AA3572" w:rsidRPr="00A06FAE" w:rsidRDefault="00A06FAE" w:rsidP="00674F29">
      <w:pPr>
        <w:spacing w:after="0" w:line="240" w:lineRule="auto"/>
        <w:jc w:val="both"/>
        <w:rPr>
          <w:i/>
        </w:rPr>
      </w:pPr>
      <w:r w:rsidRPr="00A06FAE">
        <w:t>*</w:t>
      </w:r>
      <w:r w:rsidRPr="00A06FAE">
        <w:rPr>
          <w:i/>
        </w:rPr>
        <w:t>Napomena: Gospodarski poslovi su pripojeni Zajedničkim poslovima.</w:t>
      </w:r>
    </w:p>
    <w:p w:rsidR="00AA3572" w:rsidRPr="008B3E95" w:rsidRDefault="00AA3572" w:rsidP="00674F29">
      <w:pPr>
        <w:spacing w:after="0" w:line="240" w:lineRule="auto"/>
        <w:jc w:val="both"/>
        <w:rPr>
          <w:color w:val="FF0000"/>
        </w:rPr>
      </w:pPr>
    </w:p>
    <w:p w:rsidR="003A6EE0" w:rsidRDefault="003A6EE0" w:rsidP="003A6EE0">
      <w:pPr>
        <w:spacing w:after="0" w:line="240" w:lineRule="auto"/>
        <w:jc w:val="both"/>
        <w:rPr>
          <w:b/>
          <w:bCs/>
        </w:rPr>
      </w:pPr>
    </w:p>
    <w:p w:rsidR="009F6B4A" w:rsidRDefault="009F6B4A" w:rsidP="003A6EE0">
      <w:pPr>
        <w:spacing w:after="0" w:line="240" w:lineRule="auto"/>
        <w:jc w:val="both"/>
        <w:rPr>
          <w:b/>
          <w:bCs/>
        </w:rPr>
      </w:pPr>
    </w:p>
    <w:p w:rsidR="003A6EE0" w:rsidRDefault="003A6EE0" w:rsidP="003A6EE0">
      <w:pPr>
        <w:spacing w:after="0" w:line="240" w:lineRule="auto"/>
        <w:jc w:val="both"/>
        <w:rPr>
          <w:b/>
          <w:bCs/>
        </w:rPr>
      </w:pPr>
    </w:p>
    <w:p w:rsidR="003A6EE0" w:rsidRPr="005E663A" w:rsidRDefault="00735C7E" w:rsidP="00735C7E">
      <w:pPr>
        <w:spacing w:after="0" w:line="240" w:lineRule="auto"/>
        <w:ind w:left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191294">
        <w:rPr>
          <w:b/>
          <w:caps/>
          <w:sz w:val="28"/>
          <w:szCs w:val="28"/>
        </w:rPr>
        <w:t xml:space="preserve">determinante poslovanja </w:t>
      </w:r>
      <w:r w:rsidR="009A4DAE">
        <w:rPr>
          <w:b/>
          <w:caps/>
          <w:sz w:val="28"/>
          <w:szCs w:val="28"/>
        </w:rPr>
        <w:t xml:space="preserve"> </w:t>
      </w:r>
      <w:r w:rsidR="003A6EE0" w:rsidRPr="005E663A">
        <w:rPr>
          <w:b/>
          <w:caps/>
          <w:sz w:val="28"/>
          <w:szCs w:val="28"/>
        </w:rPr>
        <w:t>u 201</w:t>
      </w:r>
      <w:r w:rsidR="00636741">
        <w:rPr>
          <w:b/>
          <w:caps/>
          <w:sz w:val="28"/>
          <w:szCs w:val="28"/>
        </w:rPr>
        <w:t>8</w:t>
      </w:r>
      <w:r w:rsidR="00262E75">
        <w:rPr>
          <w:b/>
          <w:caps/>
          <w:sz w:val="28"/>
          <w:szCs w:val="28"/>
        </w:rPr>
        <w:t>. GODINI</w:t>
      </w:r>
    </w:p>
    <w:p w:rsidR="0087118E" w:rsidRDefault="0087118E" w:rsidP="0087118E">
      <w:pPr>
        <w:spacing w:after="0" w:line="240" w:lineRule="auto"/>
        <w:jc w:val="both"/>
        <w:rPr>
          <w:b/>
          <w:bCs/>
        </w:rPr>
      </w:pPr>
    </w:p>
    <w:p w:rsidR="00AB198E" w:rsidRDefault="00AB198E" w:rsidP="003A6EE0">
      <w:pPr>
        <w:spacing w:after="0" w:line="240" w:lineRule="auto"/>
        <w:jc w:val="both"/>
        <w:rPr>
          <w:caps/>
        </w:rPr>
      </w:pPr>
    </w:p>
    <w:p w:rsidR="003A6EE0" w:rsidRDefault="00262E75" w:rsidP="00C066B5">
      <w:pPr>
        <w:numPr>
          <w:ilvl w:val="1"/>
          <w:numId w:val="20"/>
        </w:numPr>
        <w:spacing w:after="0" w:line="240" w:lineRule="auto"/>
        <w:jc w:val="both"/>
        <w:rPr>
          <w:b/>
          <w:bCs/>
          <w:caps/>
        </w:rPr>
      </w:pPr>
      <w:r>
        <w:rPr>
          <w:b/>
          <w:bCs/>
          <w:caps/>
        </w:rPr>
        <w:t>kapitalna ulaganja</w:t>
      </w:r>
    </w:p>
    <w:p w:rsidR="003A6EE0" w:rsidRDefault="003A6EE0" w:rsidP="003A6EE0">
      <w:pPr>
        <w:spacing w:after="0" w:line="240" w:lineRule="auto"/>
        <w:jc w:val="both"/>
        <w:rPr>
          <w:b/>
          <w:bCs/>
        </w:rPr>
      </w:pPr>
    </w:p>
    <w:p w:rsidR="003A6EE0" w:rsidRDefault="002C18E7" w:rsidP="003A6EE0">
      <w:pPr>
        <w:spacing w:after="0" w:line="240" w:lineRule="auto"/>
        <w:jc w:val="both"/>
        <w:rPr>
          <w:bCs/>
        </w:rPr>
      </w:pPr>
      <w:r w:rsidRPr="0016607C">
        <w:rPr>
          <w:bCs/>
        </w:rPr>
        <w:t>U 201</w:t>
      </w:r>
      <w:r w:rsidR="00636741">
        <w:rPr>
          <w:bCs/>
        </w:rPr>
        <w:t>8</w:t>
      </w:r>
      <w:r w:rsidRPr="0016607C">
        <w:rPr>
          <w:bCs/>
        </w:rPr>
        <w:t>. Planom nabave predviđene su i sljedeće značajne  investicije:</w:t>
      </w:r>
    </w:p>
    <w:p w:rsidR="005A06E8" w:rsidRPr="0016607C" w:rsidRDefault="005A06E8" w:rsidP="003A6EE0">
      <w:pPr>
        <w:spacing w:after="0" w:line="240" w:lineRule="auto"/>
        <w:jc w:val="both"/>
        <w:rPr>
          <w:bCs/>
        </w:rPr>
      </w:pPr>
    </w:p>
    <w:p w:rsidR="00922F89" w:rsidRDefault="00922F89" w:rsidP="00C066B5">
      <w:pPr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Ulaganje u postrojenja i </w:t>
      </w:r>
      <w:r w:rsidR="00B938BF">
        <w:rPr>
          <w:bCs/>
        </w:rPr>
        <w:t>pogonsku opremu</w:t>
      </w:r>
      <w:r w:rsidR="00B938BF">
        <w:rPr>
          <w:bCs/>
        </w:rPr>
        <w:tab/>
      </w:r>
      <w:r w:rsidR="00B938BF">
        <w:rPr>
          <w:bCs/>
        </w:rPr>
        <w:tab/>
      </w:r>
      <w:r w:rsidR="00B938BF">
        <w:rPr>
          <w:bCs/>
        </w:rPr>
        <w:tab/>
      </w:r>
      <w:r w:rsidR="00B938BF">
        <w:rPr>
          <w:bCs/>
        </w:rPr>
        <w:tab/>
      </w:r>
      <w:r>
        <w:rPr>
          <w:bCs/>
        </w:rPr>
        <w:t>11.791.000,00</w:t>
      </w:r>
    </w:p>
    <w:p w:rsidR="005C060D" w:rsidRDefault="00CF6800" w:rsidP="00C066B5">
      <w:pPr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CF6800">
        <w:rPr>
          <w:bCs/>
        </w:rPr>
        <w:t>Opremanje restorana na Agronomiji i Šumarstvu</w:t>
      </w:r>
      <w:r w:rsidRPr="00CF6800">
        <w:rPr>
          <w:bCs/>
        </w:rPr>
        <w:tab/>
      </w:r>
      <w:r w:rsidRPr="00CF6800">
        <w:rPr>
          <w:bCs/>
        </w:rPr>
        <w:tab/>
      </w:r>
      <w:r w:rsidR="00502C51">
        <w:rPr>
          <w:bCs/>
        </w:rPr>
        <w:tab/>
        <w:t xml:space="preserve">  </w:t>
      </w:r>
      <w:r w:rsidRPr="00CF6800">
        <w:rPr>
          <w:bCs/>
        </w:rPr>
        <w:t>2</w:t>
      </w:r>
      <w:r w:rsidR="005C060D" w:rsidRPr="00CF6800">
        <w:rPr>
          <w:bCs/>
        </w:rPr>
        <w:t>.</w:t>
      </w:r>
      <w:r w:rsidRPr="00CF6800">
        <w:rPr>
          <w:bCs/>
        </w:rPr>
        <w:t>200</w:t>
      </w:r>
      <w:r w:rsidR="005C060D" w:rsidRPr="00CF6800">
        <w:rPr>
          <w:bCs/>
        </w:rPr>
        <w:t>.000,00</w:t>
      </w:r>
    </w:p>
    <w:p w:rsidR="00922F89" w:rsidRPr="00922F89" w:rsidRDefault="00922F89" w:rsidP="00922F89">
      <w:pPr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Informatička oprema i software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938BF">
        <w:rPr>
          <w:bCs/>
        </w:rPr>
        <w:t xml:space="preserve">  </w:t>
      </w:r>
      <w:r>
        <w:rPr>
          <w:bCs/>
        </w:rPr>
        <w:t>1.685.000,00</w:t>
      </w:r>
      <w:r w:rsidRPr="00922F89">
        <w:rPr>
          <w:bCs/>
        </w:rPr>
        <w:tab/>
      </w:r>
    </w:p>
    <w:p w:rsidR="00922F89" w:rsidRDefault="00922F89" w:rsidP="00922F89">
      <w:pPr>
        <w:spacing w:after="0" w:line="240" w:lineRule="auto"/>
        <w:ind w:left="142"/>
        <w:jc w:val="both"/>
        <w:rPr>
          <w:bCs/>
        </w:rPr>
      </w:pPr>
    </w:p>
    <w:p w:rsidR="00922F89" w:rsidRDefault="0046419E" w:rsidP="0046419E">
      <w:pPr>
        <w:spacing w:after="0" w:line="240" w:lineRule="auto"/>
        <w:jc w:val="both"/>
        <w:rPr>
          <w:bCs/>
        </w:rPr>
      </w:pPr>
      <w:r>
        <w:rPr>
          <w:bCs/>
        </w:rPr>
        <w:t xml:space="preserve">U 2018.g. planiramo i </w:t>
      </w:r>
      <w:r w:rsidR="00922F89">
        <w:rPr>
          <w:bCs/>
        </w:rPr>
        <w:t xml:space="preserve">niz ulaganja u zastarjele objekte </w:t>
      </w:r>
      <w:r w:rsidR="00B938BF">
        <w:rPr>
          <w:bCs/>
        </w:rPr>
        <w:t>ko</w:t>
      </w:r>
      <w:r w:rsidR="00922F89">
        <w:rPr>
          <w:bCs/>
        </w:rPr>
        <w:t>j</w:t>
      </w:r>
      <w:r w:rsidR="00B938BF">
        <w:rPr>
          <w:bCs/>
        </w:rPr>
        <w:t>a</w:t>
      </w:r>
      <w:r w:rsidR="00922F89">
        <w:rPr>
          <w:bCs/>
        </w:rPr>
        <w:t xml:space="preserve"> će </w:t>
      </w:r>
      <w:r w:rsidR="00B938BF">
        <w:rPr>
          <w:bCs/>
        </w:rPr>
        <w:t xml:space="preserve">djelomično </w:t>
      </w:r>
      <w:r w:rsidR="00922F89">
        <w:rPr>
          <w:bCs/>
        </w:rPr>
        <w:t xml:space="preserve"> imati karakter investicijskog, a </w:t>
      </w:r>
      <w:r w:rsidR="00B938BF">
        <w:rPr>
          <w:bCs/>
        </w:rPr>
        <w:t>djelomično</w:t>
      </w:r>
      <w:r w:rsidR="00922F89">
        <w:rPr>
          <w:bCs/>
        </w:rPr>
        <w:t xml:space="preserve"> tekućeg održavanja te je za ova ulaganja teško proc</w:t>
      </w:r>
      <w:r w:rsidR="00B938BF">
        <w:rPr>
          <w:bCs/>
        </w:rPr>
        <w:t>i</w:t>
      </w:r>
      <w:r w:rsidR="00922F89">
        <w:rPr>
          <w:bCs/>
        </w:rPr>
        <w:t>jeni</w:t>
      </w:r>
      <w:r w:rsidR="00B938BF">
        <w:rPr>
          <w:bCs/>
        </w:rPr>
        <w:t>ti iznos kapitalizacije odnosno iznos koji će teretiti operativne troškove.</w:t>
      </w:r>
    </w:p>
    <w:p w:rsidR="00F15C49" w:rsidRPr="005A06E8" w:rsidRDefault="005A06E8" w:rsidP="00F15C49">
      <w:pPr>
        <w:spacing w:after="0" w:line="240" w:lineRule="auto"/>
        <w:jc w:val="both"/>
        <w:rPr>
          <w:bCs/>
          <w:highlight w:val="yellow"/>
        </w:rPr>
      </w:pPr>
      <w:r w:rsidRPr="005A06E8">
        <w:rPr>
          <w:bCs/>
        </w:rPr>
        <w:t>Sve</w:t>
      </w:r>
      <w:r>
        <w:rPr>
          <w:bCs/>
        </w:rPr>
        <w:t xml:space="preserve"> po</w:t>
      </w:r>
      <w:r w:rsidR="00F15C49">
        <w:t xml:space="preserve">jedinačne pozicije vrijednosti veće od 20.000,00 kn vidljive su u Godišnjem planu nabave koji je zaseban javno dostupan dokument. </w:t>
      </w:r>
    </w:p>
    <w:p w:rsidR="00F1503F" w:rsidRDefault="00F1503F" w:rsidP="00F15C49">
      <w:pPr>
        <w:spacing w:after="0" w:line="240" w:lineRule="auto"/>
        <w:jc w:val="both"/>
      </w:pPr>
      <w:r>
        <w:t xml:space="preserve">Godišnji plan nabave  prikazuje planirane nabave roba, usluga i radova </w:t>
      </w:r>
      <w:r w:rsidR="00F15C49" w:rsidRPr="00CB3939">
        <w:t xml:space="preserve"> u svim djelatnostima i službama za održavanje kompletnog sustava djelatnosti.</w:t>
      </w:r>
    </w:p>
    <w:p w:rsidR="002D4985" w:rsidRDefault="002D4985" w:rsidP="00F15C49">
      <w:pPr>
        <w:spacing w:after="0" w:line="240" w:lineRule="auto"/>
        <w:jc w:val="both"/>
        <w:rPr>
          <w:bCs/>
        </w:rPr>
      </w:pPr>
    </w:p>
    <w:p w:rsidR="009029B7" w:rsidRDefault="009029B7" w:rsidP="009029B7">
      <w:pPr>
        <w:spacing w:after="0" w:line="240" w:lineRule="auto"/>
        <w:jc w:val="both"/>
        <w:rPr>
          <w:bCs/>
        </w:rPr>
      </w:pPr>
    </w:p>
    <w:p w:rsidR="00B82A3B" w:rsidRDefault="00B82A3B" w:rsidP="009029B7">
      <w:pPr>
        <w:spacing w:after="0" w:line="240" w:lineRule="auto"/>
        <w:jc w:val="both"/>
        <w:rPr>
          <w:bCs/>
        </w:rPr>
      </w:pPr>
    </w:p>
    <w:p w:rsidR="00B82A3B" w:rsidRDefault="00B82A3B" w:rsidP="009029B7">
      <w:pPr>
        <w:spacing w:after="0" w:line="240" w:lineRule="auto"/>
        <w:jc w:val="both"/>
        <w:rPr>
          <w:bCs/>
        </w:rPr>
      </w:pPr>
    </w:p>
    <w:p w:rsidR="00B82A3B" w:rsidRPr="005C060D" w:rsidRDefault="00B82A3B" w:rsidP="009029B7">
      <w:pPr>
        <w:spacing w:after="0" w:line="240" w:lineRule="auto"/>
        <w:jc w:val="both"/>
        <w:rPr>
          <w:bCs/>
        </w:rPr>
      </w:pPr>
    </w:p>
    <w:p w:rsidR="009029B7" w:rsidRPr="00B938BF" w:rsidRDefault="009029B7" w:rsidP="00C066B5">
      <w:pPr>
        <w:numPr>
          <w:ilvl w:val="1"/>
          <w:numId w:val="20"/>
        </w:numPr>
        <w:spacing w:after="0" w:line="240" w:lineRule="auto"/>
        <w:jc w:val="both"/>
        <w:rPr>
          <w:b/>
          <w:bCs/>
          <w:caps/>
        </w:rPr>
      </w:pPr>
      <w:r w:rsidRPr="00B938BF">
        <w:rPr>
          <w:b/>
          <w:bCs/>
          <w:caps/>
        </w:rPr>
        <w:t>kolektivni ugovor</w:t>
      </w:r>
    </w:p>
    <w:p w:rsidR="009029B7" w:rsidRPr="00B938BF" w:rsidRDefault="009029B7" w:rsidP="009029B7">
      <w:pPr>
        <w:spacing w:after="0" w:line="240" w:lineRule="auto"/>
        <w:jc w:val="both"/>
        <w:rPr>
          <w:b/>
          <w:bCs/>
          <w:caps/>
        </w:rPr>
      </w:pPr>
    </w:p>
    <w:p w:rsidR="00DD5B72" w:rsidRPr="00B938BF" w:rsidRDefault="00DD5B72" w:rsidP="00DD5B72">
      <w:pPr>
        <w:spacing w:after="0" w:line="240" w:lineRule="auto"/>
        <w:jc w:val="both"/>
        <w:rPr>
          <w:bCs/>
        </w:rPr>
      </w:pPr>
      <w:r w:rsidRPr="00B938BF">
        <w:rPr>
          <w:bCs/>
        </w:rPr>
        <w:t>Od 1.1.2017.  stup</w:t>
      </w:r>
      <w:r w:rsidR="00636741" w:rsidRPr="00B938BF">
        <w:rPr>
          <w:bCs/>
        </w:rPr>
        <w:t>io je</w:t>
      </w:r>
      <w:r w:rsidR="00387185" w:rsidRPr="00B938BF">
        <w:rPr>
          <w:bCs/>
        </w:rPr>
        <w:t xml:space="preserve"> na snagu Kolektivni ugovor</w:t>
      </w:r>
      <w:r w:rsidRPr="00B938BF">
        <w:rPr>
          <w:bCs/>
        </w:rPr>
        <w:t xml:space="preserve"> za Studentski centar u Zagrebu kojim </w:t>
      </w:r>
      <w:r w:rsidR="00636741" w:rsidRPr="00B938BF">
        <w:rPr>
          <w:bCs/>
        </w:rPr>
        <w:t>su</w:t>
      </w:r>
      <w:r w:rsidRPr="00B938BF">
        <w:rPr>
          <w:bCs/>
        </w:rPr>
        <w:t xml:space="preserve"> regulirana prava i obveze  te pitanja iz radnih odnosa. </w:t>
      </w:r>
    </w:p>
    <w:p w:rsidR="00DD5B72" w:rsidRPr="00B938BF" w:rsidRDefault="00DD5B72" w:rsidP="00DD5B72">
      <w:pPr>
        <w:spacing w:after="0" w:line="240" w:lineRule="auto"/>
        <w:jc w:val="both"/>
        <w:rPr>
          <w:bCs/>
        </w:rPr>
      </w:pPr>
      <w:r w:rsidRPr="00B938BF">
        <w:rPr>
          <w:bCs/>
        </w:rPr>
        <w:t xml:space="preserve">Kolektivni ugovor </w:t>
      </w:r>
      <w:r w:rsidR="00387185" w:rsidRPr="00B938BF">
        <w:rPr>
          <w:bCs/>
        </w:rPr>
        <w:t>u 2017.g.</w:t>
      </w:r>
      <w:r w:rsidRPr="00B938BF">
        <w:rPr>
          <w:bCs/>
        </w:rPr>
        <w:t xml:space="preserve"> </w:t>
      </w:r>
      <w:r w:rsidR="007271E5" w:rsidRPr="00B938BF">
        <w:rPr>
          <w:bCs/>
        </w:rPr>
        <w:t>n</w:t>
      </w:r>
      <w:r w:rsidR="00636741" w:rsidRPr="00B938BF">
        <w:rPr>
          <w:bCs/>
        </w:rPr>
        <w:t>ije</w:t>
      </w:r>
      <w:r w:rsidR="007271E5" w:rsidRPr="00B938BF">
        <w:rPr>
          <w:bCs/>
        </w:rPr>
        <w:t xml:space="preserve"> predvi</w:t>
      </w:r>
      <w:r w:rsidR="00636741" w:rsidRPr="00B938BF">
        <w:rPr>
          <w:bCs/>
        </w:rPr>
        <w:t>dio</w:t>
      </w:r>
      <w:r w:rsidR="007271E5" w:rsidRPr="00B938BF">
        <w:rPr>
          <w:bCs/>
        </w:rPr>
        <w:t xml:space="preserve"> nastanak </w:t>
      </w:r>
      <w:r w:rsidRPr="00B938BF">
        <w:rPr>
          <w:bCs/>
        </w:rPr>
        <w:t>nov</w:t>
      </w:r>
      <w:r w:rsidR="007271E5" w:rsidRPr="00B938BF">
        <w:rPr>
          <w:bCs/>
        </w:rPr>
        <w:t>ih</w:t>
      </w:r>
      <w:r w:rsidRPr="00B938BF">
        <w:rPr>
          <w:bCs/>
        </w:rPr>
        <w:t xml:space="preserve"> </w:t>
      </w:r>
      <w:r w:rsidR="007271E5" w:rsidRPr="00B938BF">
        <w:rPr>
          <w:bCs/>
        </w:rPr>
        <w:t>obveza</w:t>
      </w:r>
      <w:r w:rsidRPr="00B938BF">
        <w:rPr>
          <w:bCs/>
        </w:rPr>
        <w:t xml:space="preserve"> vezano za materijalna prava, već sadrži klauzulu da će se u zadnjem kvartalu </w:t>
      </w:r>
      <w:r w:rsidR="00636741" w:rsidRPr="00B938BF">
        <w:rPr>
          <w:bCs/>
        </w:rPr>
        <w:t xml:space="preserve">2017.g. </w:t>
      </w:r>
      <w:r w:rsidRPr="00B938BF">
        <w:rPr>
          <w:bCs/>
        </w:rPr>
        <w:t xml:space="preserve">pregovarati o istima, ovisno o ostvarenim poslovnim rezultatima i eventualnom završetku sanacijskog procesa. </w:t>
      </w:r>
      <w:r w:rsidR="00636741" w:rsidRPr="00B938BF">
        <w:rPr>
          <w:bCs/>
        </w:rPr>
        <w:t xml:space="preserve"> U ovom trenutku još nije postignut dogovor, ali se očekuje postizanje istog do konca 2017.g.</w:t>
      </w:r>
    </w:p>
    <w:p w:rsidR="00DD5B72" w:rsidRPr="00B938BF" w:rsidRDefault="00DD5B72" w:rsidP="00DD5B72">
      <w:pPr>
        <w:spacing w:after="0" w:line="240" w:lineRule="auto"/>
        <w:jc w:val="both"/>
        <w:rPr>
          <w:bCs/>
        </w:rPr>
      </w:pPr>
      <w:r w:rsidRPr="00B938BF">
        <w:rPr>
          <w:bCs/>
        </w:rPr>
        <w:t>Eventualno dogovorena nova materijalna prava primjenjiva</w:t>
      </w:r>
      <w:r w:rsidR="00636741" w:rsidRPr="00B938BF">
        <w:rPr>
          <w:bCs/>
        </w:rPr>
        <w:t xml:space="preserve">ti </w:t>
      </w:r>
      <w:r w:rsidRPr="00B938BF">
        <w:rPr>
          <w:bCs/>
        </w:rPr>
        <w:t xml:space="preserve"> </w:t>
      </w:r>
      <w:r w:rsidR="00636741" w:rsidRPr="00B938BF">
        <w:rPr>
          <w:bCs/>
        </w:rPr>
        <w:t>će</w:t>
      </w:r>
      <w:r w:rsidRPr="00B938BF">
        <w:rPr>
          <w:bCs/>
        </w:rPr>
        <w:t xml:space="preserve"> se od 2018.g. te</w:t>
      </w:r>
      <w:r w:rsidR="00636741" w:rsidRPr="00B938BF">
        <w:rPr>
          <w:bCs/>
        </w:rPr>
        <w:t xml:space="preserve"> su</w:t>
      </w:r>
      <w:r w:rsidRPr="00B938BF">
        <w:rPr>
          <w:bCs/>
        </w:rPr>
        <w:t xml:space="preserve"> sukladno tome </w:t>
      </w:r>
      <w:r w:rsidR="00636741" w:rsidRPr="00B938BF">
        <w:rPr>
          <w:bCs/>
        </w:rPr>
        <w:t>financijski efekti projicirani</w:t>
      </w:r>
      <w:r w:rsidRPr="00B938BF">
        <w:rPr>
          <w:bCs/>
        </w:rPr>
        <w:t xml:space="preserve"> u financijski plan </w:t>
      </w:r>
      <w:r w:rsidR="00636741" w:rsidRPr="00B938BF">
        <w:rPr>
          <w:bCs/>
        </w:rPr>
        <w:t xml:space="preserve">za </w:t>
      </w:r>
      <w:r w:rsidRPr="00B938BF">
        <w:rPr>
          <w:bCs/>
        </w:rPr>
        <w:t>201</w:t>
      </w:r>
      <w:r w:rsidR="00636741" w:rsidRPr="00B938BF">
        <w:rPr>
          <w:bCs/>
        </w:rPr>
        <w:t>8</w:t>
      </w:r>
      <w:r w:rsidRPr="00B938BF">
        <w:rPr>
          <w:bCs/>
        </w:rPr>
        <w:t>.g.</w:t>
      </w:r>
    </w:p>
    <w:p w:rsidR="009029B7" w:rsidRPr="00B938BF" w:rsidRDefault="009029B7" w:rsidP="009029B7">
      <w:pPr>
        <w:spacing w:after="0" w:line="240" w:lineRule="auto"/>
        <w:jc w:val="both"/>
        <w:rPr>
          <w:b/>
          <w:bCs/>
          <w:caps/>
        </w:rPr>
      </w:pPr>
    </w:p>
    <w:p w:rsidR="00BE7BCE" w:rsidRPr="00B938BF" w:rsidRDefault="00BE7BCE" w:rsidP="009029B7">
      <w:pPr>
        <w:spacing w:after="0" w:line="240" w:lineRule="auto"/>
        <w:jc w:val="both"/>
        <w:rPr>
          <w:bCs/>
          <w:highlight w:val="yellow"/>
        </w:rPr>
      </w:pPr>
    </w:p>
    <w:p w:rsidR="007271E5" w:rsidRPr="00B938BF" w:rsidRDefault="007271E5" w:rsidP="00C066B5">
      <w:pPr>
        <w:numPr>
          <w:ilvl w:val="1"/>
          <w:numId w:val="20"/>
        </w:numPr>
        <w:spacing w:after="0" w:line="240" w:lineRule="auto"/>
        <w:jc w:val="both"/>
        <w:rPr>
          <w:b/>
          <w:bCs/>
          <w:caps/>
        </w:rPr>
      </w:pPr>
      <w:r w:rsidRPr="00B938BF">
        <w:rPr>
          <w:b/>
          <w:bCs/>
          <w:caps/>
        </w:rPr>
        <w:t>reorganizacija poslovanja</w:t>
      </w:r>
    </w:p>
    <w:p w:rsidR="003A6EE0" w:rsidRPr="00B938BF" w:rsidRDefault="003A6EE0" w:rsidP="003A6EE0">
      <w:pPr>
        <w:spacing w:after="0" w:line="240" w:lineRule="auto"/>
        <w:jc w:val="both"/>
        <w:rPr>
          <w:b/>
          <w:bCs/>
        </w:rPr>
      </w:pPr>
    </w:p>
    <w:p w:rsidR="00BE7BCE" w:rsidRPr="00B938BF" w:rsidRDefault="00BE7BCE" w:rsidP="00BE7BCE">
      <w:pPr>
        <w:spacing w:after="0" w:line="240" w:lineRule="auto"/>
        <w:jc w:val="both"/>
        <w:rPr>
          <w:bCs/>
        </w:rPr>
      </w:pPr>
      <w:r w:rsidRPr="00B938BF">
        <w:rPr>
          <w:bCs/>
        </w:rPr>
        <w:t>U 201</w:t>
      </w:r>
      <w:r w:rsidR="0016565A" w:rsidRPr="00B938BF">
        <w:rPr>
          <w:bCs/>
        </w:rPr>
        <w:t>8</w:t>
      </w:r>
      <w:r w:rsidRPr="00B938BF">
        <w:rPr>
          <w:bCs/>
        </w:rPr>
        <w:t>.g. planiramo sveobuhvatnu reorganizaciju poslovanja  kroz smanjivanje  broja organizacijskih jedinica i hijerarhijskih razina, a s ciljem optimizacije i  povećanja efikasnosti  poslovanja.</w:t>
      </w:r>
    </w:p>
    <w:p w:rsidR="00BE7BCE" w:rsidRDefault="00BE7BCE" w:rsidP="00BE7BCE">
      <w:pPr>
        <w:spacing w:after="0" w:line="240" w:lineRule="auto"/>
        <w:jc w:val="both"/>
        <w:rPr>
          <w:bCs/>
        </w:rPr>
      </w:pPr>
      <w:r w:rsidRPr="00B938BF">
        <w:rPr>
          <w:bCs/>
        </w:rPr>
        <w:t xml:space="preserve">Također je u planu </w:t>
      </w:r>
      <w:r w:rsidRPr="00B938BF">
        <w:rPr>
          <w:b/>
          <w:bCs/>
          <w:i/>
        </w:rPr>
        <w:t>izdvajanje tzv. gospodarskog poslovanja u posebnu organizacijsku jedinicu</w:t>
      </w:r>
      <w:r w:rsidR="00F1503F" w:rsidRPr="00B938BF">
        <w:rPr>
          <w:bCs/>
        </w:rPr>
        <w:t xml:space="preserve"> kako bi </w:t>
      </w:r>
      <w:r w:rsidRPr="00B938BF">
        <w:rPr>
          <w:bCs/>
        </w:rPr>
        <w:t xml:space="preserve">osigurali transparentnije poslovanje sukladno važećim zakonima i propisima </w:t>
      </w:r>
      <w:r w:rsidR="00F1503F" w:rsidRPr="00B938BF">
        <w:rPr>
          <w:bCs/>
        </w:rPr>
        <w:t xml:space="preserve">i naputku revizora, </w:t>
      </w:r>
      <w:r w:rsidRPr="00B938BF">
        <w:rPr>
          <w:bCs/>
        </w:rPr>
        <w:t xml:space="preserve">ali i </w:t>
      </w:r>
      <w:r w:rsidR="00F1503F" w:rsidRPr="00B938BF">
        <w:rPr>
          <w:bCs/>
        </w:rPr>
        <w:t xml:space="preserve">kako bi </w:t>
      </w:r>
      <w:r w:rsidRPr="00B938BF">
        <w:rPr>
          <w:bCs/>
        </w:rPr>
        <w:t xml:space="preserve">generirali </w:t>
      </w:r>
      <w:r w:rsidR="00B938BF">
        <w:rPr>
          <w:bCs/>
        </w:rPr>
        <w:t>dodatne prihode</w:t>
      </w:r>
      <w:r w:rsidRPr="00B938BF">
        <w:rPr>
          <w:bCs/>
        </w:rPr>
        <w:t xml:space="preserve"> koje bi onda mogli iskoristiti za druge projekte koji će rezultirati poboljšavanjem studentskog standarda.</w:t>
      </w:r>
    </w:p>
    <w:p w:rsidR="009F6B4A" w:rsidRDefault="009F6B4A" w:rsidP="00BE7BCE">
      <w:pPr>
        <w:spacing w:after="0" w:line="240" w:lineRule="auto"/>
        <w:jc w:val="both"/>
        <w:rPr>
          <w:bCs/>
        </w:rPr>
      </w:pPr>
    </w:p>
    <w:p w:rsidR="009F6B4A" w:rsidRDefault="009F6B4A" w:rsidP="00BE7BCE">
      <w:pPr>
        <w:spacing w:after="0" w:line="240" w:lineRule="auto"/>
        <w:jc w:val="both"/>
        <w:rPr>
          <w:bCs/>
        </w:rPr>
      </w:pPr>
    </w:p>
    <w:p w:rsidR="009F6B4A" w:rsidRPr="00B938BF" w:rsidRDefault="009F6B4A" w:rsidP="00BE7BCE">
      <w:pPr>
        <w:spacing w:after="0" w:line="240" w:lineRule="auto"/>
        <w:jc w:val="both"/>
        <w:rPr>
          <w:bCs/>
        </w:rPr>
      </w:pPr>
    </w:p>
    <w:p w:rsidR="004751BE" w:rsidRPr="00B938BF" w:rsidRDefault="004751BE" w:rsidP="00BE7BCE">
      <w:pPr>
        <w:spacing w:after="0" w:line="240" w:lineRule="auto"/>
        <w:jc w:val="both"/>
        <w:rPr>
          <w:bCs/>
        </w:rPr>
      </w:pPr>
    </w:p>
    <w:p w:rsidR="00BE7BCE" w:rsidRDefault="00BE7BCE" w:rsidP="00BE7BCE">
      <w:pPr>
        <w:spacing w:after="0" w:line="240" w:lineRule="auto"/>
        <w:jc w:val="both"/>
        <w:rPr>
          <w:bCs/>
        </w:rPr>
      </w:pPr>
    </w:p>
    <w:p w:rsidR="00BE7BCE" w:rsidRDefault="00BE7BCE" w:rsidP="00C066B5">
      <w:pPr>
        <w:numPr>
          <w:ilvl w:val="1"/>
          <w:numId w:val="20"/>
        </w:numPr>
        <w:spacing w:after="0" w:line="240" w:lineRule="auto"/>
        <w:jc w:val="both"/>
        <w:rPr>
          <w:b/>
          <w:bCs/>
          <w:caps/>
        </w:rPr>
      </w:pPr>
      <w:r>
        <w:rPr>
          <w:b/>
          <w:bCs/>
          <w:caps/>
        </w:rPr>
        <w:t>Poboljšanje informatičkog sustava</w:t>
      </w:r>
    </w:p>
    <w:p w:rsidR="00387185" w:rsidRDefault="00387185" w:rsidP="00387185">
      <w:pPr>
        <w:spacing w:after="0" w:line="240" w:lineRule="auto"/>
        <w:jc w:val="both"/>
        <w:rPr>
          <w:b/>
          <w:bCs/>
          <w:caps/>
        </w:rPr>
      </w:pPr>
    </w:p>
    <w:p w:rsidR="009A4DAE" w:rsidRDefault="0016565A" w:rsidP="00387185">
      <w:pPr>
        <w:spacing w:after="0" w:line="240" w:lineRule="auto"/>
        <w:jc w:val="both"/>
        <w:rPr>
          <w:bCs/>
        </w:rPr>
      </w:pPr>
      <w:r>
        <w:rPr>
          <w:bCs/>
        </w:rPr>
        <w:t>Nakon što su 2016. i 2017.g.</w:t>
      </w:r>
      <w:r w:rsidR="009A4DAE">
        <w:rPr>
          <w:bCs/>
        </w:rPr>
        <w:t xml:space="preserve"> postojeć</w:t>
      </w:r>
      <w:r>
        <w:rPr>
          <w:bCs/>
        </w:rPr>
        <w:t>a programska rješenja</w:t>
      </w:r>
      <w:r w:rsidR="009A4DAE">
        <w:rPr>
          <w:bCs/>
        </w:rPr>
        <w:t xml:space="preserve"> u Prehrani </w:t>
      </w:r>
      <w:r>
        <w:rPr>
          <w:bCs/>
        </w:rPr>
        <w:t xml:space="preserve">i Smještaju </w:t>
      </w:r>
      <w:r w:rsidR="009A4DAE">
        <w:rPr>
          <w:bCs/>
        </w:rPr>
        <w:t>zamijenjen</w:t>
      </w:r>
      <w:r>
        <w:rPr>
          <w:bCs/>
        </w:rPr>
        <w:t>a</w:t>
      </w:r>
      <w:r w:rsidR="009A4DAE">
        <w:rPr>
          <w:bCs/>
        </w:rPr>
        <w:t xml:space="preserve"> novim</w:t>
      </w:r>
      <w:r>
        <w:rPr>
          <w:bCs/>
        </w:rPr>
        <w:t xml:space="preserve"> aplikacijama</w:t>
      </w:r>
      <w:r w:rsidR="009A4DAE">
        <w:rPr>
          <w:bCs/>
        </w:rPr>
        <w:t>, u  201</w:t>
      </w:r>
      <w:r>
        <w:rPr>
          <w:bCs/>
        </w:rPr>
        <w:t>8</w:t>
      </w:r>
      <w:r w:rsidR="009A4DAE">
        <w:rPr>
          <w:bCs/>
        </w:rPr>
        <w:t>.g. planira</w:t>
      </w:r>
      <w:r w:rsidR="00CC6692">
        <w:rPr>
          <w:bCs/>
        </w:rPr>
        <w:t xml:space="preserve"> se uvođenje nove aplikacije za praćenje poslo</w:t>
      </w:r>
      <w:r w:rsidR="009A4DAE">
        <w:rPr>
          <w:bCs/>
        </w:rPr>
        <w:t>vanj</w:t>
      </w:r>
      <w:r w:rsidR="00CC6692">
        <w:rPr>
          <w:bCs/>
        </w:rPr>
        <w:t>a</w:t>
      </w:r>
      <w:r w:rsidR="009A4DAE">
        <w:rPr>
          <w:bCs/>
        </w:rPr>
        <w:t xml:space="preserve"> Student servisa. U drugoj fazi,</w:t>
      </w:r>
      <w:r w:rsidR="004751BE">
        <w:rPr>
          <w:bCs/>
        </w:rPr>
        <w:t xml:space="preserve"> </w:t>
      </w:r>
      <w:r w:rsidR="009A4DAE">
        <w:rPr>
          <w:bCs/>
        </w:rPr>
        <w:t xml:space="preserve">planiramo na istoj platformi  implementirati  novo ERP rješenje koje bi bilo povezano </w:t>
      </w:r>
      <w:r w:rsidR="00CC6692">
        <w:rPr>
          <w:bCs/>
        </w:rPr>
        <w:t xml:space="preserve">i </w:t>
      </w:r>
      <w:r w:rsidR="009A4DAE">
        <w:rPr>
          <w:bCs/>
        </w:rPr>
        <w:t>sa aplikacijom Prehrane. Na ovaj način, dobili bi novo moderno programsko rješenje koje bi ubrzalo protok informacija i automatiziralo procese t</w:t>
      </w:r>
      <w:r w:rsidR="00B6639B">
        <w:rPr>
          <w:bCs/>
        </w:rPr>
        <w:t>e bi u konačnici dovelo do transparentnijeg poslovanja uz istodobno smanjenje broja ljudi zaposlenih na administrativnim poslovima.</w:t>
      </w:r>
      <w:r w:rsidR="009A4DAE">
        <w:rPr>
          <w:bCs/>
        </w:rPr>
        <w:t xml:space="preserve"> </w:t>
      </w:r>
      <w:r w:rsidR="00CC6692">
        <w:rPr>
          <w:bCs/>
        </w:rPr>
        <w:t>Uvođenje novog ERP-a planira se u 2019.g.</w:t>
      </w:r>
    </w:p>
    <w:p w:rsidR="0017113A" w:rsidRDefault="0017113A" w:rsidP="00387185">
      <w:pPr>
        <w:spacing w:after="0" w:line="240" w:lineRule="auto"/>
        <w:jc w:val="both"/>
        <w:rPr>
          <w:bCs/>
        </w:rPr>
      </w:pPr>
      <w:r w:rsidRPr="003B29A1">
        <w:rPr>
          <w:bCs/>
        </w:rPr>
        <w:t xml:space="preserve">Također, planiramo uvesti informatički sustav evidencije dolaska/odlaska  na  posao koji </w:t>
      </w:r>
      <w:r w:rsidR="003B29A1" w:rsidRPr="003B29A1">
        <w:rPr>
          <w:bCs/>
        </w:rPr>
        <w:t>će</w:t>
      </w:r>
      <w:r w:rsidRPr="003B29A1">
        <w:rPr>
          <w:bCs/>
        </w:rPr>
        <w:t xml:space="preserve"> biti povezan sa službom obračuna osobnih dohodaka SC-a Zagreb.</w:t>
      </w:r>
    </w:p>
    <w:p w:rsidR="0046419E" w:rsidRPr="003B29A1" w:rsidRDefault="0046419E" w:rsidP="00387185">
      <w:pPr>
        <w:spacing w:after="0" w:line="240" w:lineRule="auto"/>
        <w:jc w:val="both"/>
        <w:rPr>
          <w:b/>
          <w:bCs/>
          <w:caps/>
        </w:rPr>
      </w:pPr>
    </w:p>
    <w:p w:rsidR="00387185" w:rsidRDefault="00387185" w:rsidP="00387185">
      <w:pPr>
        <w:spacing w:after="0" w:line="240" w:lineRule="auto"/>
        <w:jc w:val="both"/>
        <w:rPr>
          <w:b/>
          <w:bCs/>
          <w:caps/>
        </w:rPr>
      </w:pPr>
    </w:p>
    <w:p w:rsidR="00387185" w:rsidRDefault="00CB7143" w:rsidP="00C066B5">
      <w:pPr>
        <w:numPr>
          <w:ilvl w:val="1"/>
          <w:numId w:val="20"/>
        </w:numPr>
        <w:spacing w:after="0" w:line="240" w:lineRule="auto"/>
        <w:jc w:val="both"/>
        <w:rPr>
          <w:b/>
          <w:bCs/>
          <w:caps/>
        </w:rPr>
      </w:pPr>
      <w:r>
        <w:rPr>
          <w:b/>
          <w:bCs/>
          <w:caps/>
        </w:rPr>
        <w:t>OTVARANJE NOV</w:t>
      </w:r>
      <w:r w:rsidR="0046419E">
        <w:rPr>
          <w:b/>
          <w:bCs/>
          <w:caps/>
        </w:rPr>
        <w:t>IH</w:t>
      </w:r>
      <w:r>
        <w:rPr>
          <w:b/>
          <w:bCs/>
          <w:caps/>
        </w:rPr>
        <w:t xml:space="preserve"> RESTORANA </w:t>
      </w:r>
      <w:r w:rsidR="0046419E">
        <w:rPr>
          <w:b/>
          <w:bCs/>
          <w:caps/>
        </w:rPr>
        <w:t>(</w:t>
      </w:r>
      <w:r>
        <w:rPr>
          <w:b/>
          <w:bCs/>
          <w:caps/>
        </w:rPr>
        <w:t xml:space="preserve"> ŠUMARSK</w:t>
      </w:r>
      <w:r w:rsidR="0046419E">
        <w:rPr>
          <w:b/>
          <w:bCs/>
          <w:caps/>
        </w:rPr>
        <w:t>i I filozofski</w:t>
      </w:r>
      <w:r>
        <w:rPr>
          <w:b/>
          <w:bCs/>
          <w:caps/>
        </w:rPr>
        <w:t xml:space="preserve"> FAKULTET</w:t>
      </w:r>
      <w:r w:rsidR="0046419E">
        <w:rPr>
          <w:b/>
          <w:bCs/>
          <w:caps/>
        </w:rPr>
        <w:t>, hrvatsko katoličko sveučilište)</w:t>
      </w:r>
    </w:p>
    <w:p w:rsidR="00CB7143" w:rsidRDefault="00CB7143" w:rsidP="00CB7143">
      <w:pPr>
        <w:jc w:val="both"/>
      </w:pPr>
    </w:p>
    <w:p w:rsidR="00CB7143" w:rsidRDefault="00CB7143" w:rsidP="00CB7143">
      <w:pPr>
        <w:jc w:val="both"/>
      </w:pPr>
      <w:r>
        <w:t>U prvom kvartalu 201</w:t>
      </w:r>
      <w:r w:rsidR="00CC6692">
        <w:t>8</w:t>
      </w:r>
      <w:r>
        <w:t>. planiramo otvorenje novog restorana na Šumarskom fakultet</w:t>
      </w:r>
      <w:r w:rsidR="0046419E">
        <w:t xml:space="preserve">u (projekt „Zeleni paviljon“). </w:t>
      </w:r>
      <w:r>
        <w:t>Sredstva za opremanje navedenog restorana u iznosu od 2.000.000,00 kn je osiguralo Ministarstvo znanosti i obrazovanja.</w:t>
      </w:r>
      <w:r w:rsidRPr="00CB7143">
        <w:t xml:space="preserve"> </w:t>
      </w:r>
      <w:r>
        <w:t>Novi restoran predstavlja direktno poboljšanje studentskog standarda zahvaljujući proširenju kapaciteta i poboljšavanju kvalitete usluge studentske preh</w:t>
      </w:r>
      <w:r w:rsidR="00AA550E">
        <w:t>r</w:t>
      </w:r>
      <w:r>
        <w:t>ane. Otvorenje novog restorana trebalo bi generirati  dodatne prihode za Studentski centar u Zagrebu.</w:t>
      </w:r>
    </w:p>
    <w:p w:rsidR="0046419E" w:rsidRDefault="0046419E" w:rsidP="0046419E">
      <w:pPr>
        <w:spacing w:after="0" w:line="240" w:lineRule="auto"/>
        <w:jc w:val="both"/>
        <w:rPr>
          <w:bCs/>
        </w:rPr>
      </w:pPr>
    </w:p>
    <w:p w:rsidR="0046419E" w:rsidRDefault="0046419E" w:rsidP="0046419E">
      <w:pPr>
        <w:spacing w:after="0" w:line="240" w:lineRule="auto"/>
        <w:jc w:val="both"/>
        <w:rPr>
          <w:bCs/>
        </w:rPr>
      </w:pPr>
    </w:p>
    <w:p w:rsidR="0046419E" w:rsidRDefault="0046419E" w:rsidP="0046419E">
      <w:pPr>
        <w:spacing w:after="0" w:line="240" w:lineRule="auto"/>
        <w:jc w:val="both"/>
        <w:rPr>
          <w:bCs/>
        </w:rPr>
      </w:pPr>
    </w:p>
    <w:p w:rsidR="0046419E" w:rsidRDefault="0046419E" w:rsidP="0046419E">
      <w:pPr>
        <w:spacing w:after="0" w:line="240" w:lineRule="auto"/>
        <w:jc w:val="both"/>
        <w:rPr>
          <w:bCs/>
        </w:rPr>
      </w:pPr>
      <w:r>
        <w:rPr>
          <w:bCs/>
        </w:rPr>
        <w:t>Također su tijeku inicijalni pregovori za otvaranje dva nova restorana i to:</w:t>
      </w:r>
    </w:p>
    <w:p w:rsidR="0046419E" w:rsidRDefault="0046419E" w:rsidP="0046419E">
      <w:pPr>
        <w:spacing w:after="0" w:line="240" w:lineRule="auto"/>
        <w:ind w:left="142"/>
        <w:jc w:val="both"/>
        <w:rPr>
          <w:bCs/>
        </w:rPr>
      </w:pPr>
    </w:p>
    <w:p w:rsidR="0046419E" w:rsidRPr="00B938BF" w:rsidRDefault="0046419E" w:rsidP="0046419E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bCs/>
        </w:rPr>
      </w:pPr>
      <w:r w:rsidRPr="00B938BF">
        <w:rPr>
          <w:bCs/>
        </w:rPr>
        <w:t xml:space="preserve">Restoran SC-a Zagreb na Filozofskom fakultetu u Zagrebu </w:t>
      </w:r>
    </w:p>
    <w:p w:rsidR="0046419E" w:rsidRPr="00B938BF" w:rsidRDefault="0046419E" w:rsidP="0046419E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bCs/>
        </w:rPr>
      </w:pPr>
      <w:r w:rsidRPr="00B938BF">
        <w:rPr>
          <w:bCs/>
        </w:rPr>
        <w:t xml:space="preserve">Restoran SC-a Zagreb na Katoličko bogoslovnom Sveučilištu u Zagrebu </w:t>
      </w:r>
    </w:p>
    <w:p w:rsidR="0046419E" w:rsidRDefault="0046419E" w:rsidP="0046419E">
      <w:pPr>
        <w:spacing w:after="0" w:line="240" w:lineRule="auto"/>
        <w:jc w:val="both"/>
        <w:rPr>
          <w:bCs/>
        </w:rPr>
      </w:pPr>
    </w:p>
    <w:p w:rsidR="00BE7BCE" w:rsidRDefault="0046419E" w:rsidP="00BE7BCE">
      <w:pPr>
        <w:spacing w:after="0" w:line="240" w:lineRule="auto"/>
        <w:jc w:val="both"/>
        <w:rPr>
          <w:bCs/>
        </w:rPr>
      </w:pPr>
      <w:r w:rsidRPr="00B938BF">
        <w:rPr>
          <w:bCs/>
        </w:rPr>
        <w:t>Velika je vjerojatnost da će isti biti i otvoreni tijekom 2018.g. No, modalitet suradnje još nije poznat i vjerojatno je da ćemo samo sklopiti ugovor o najmu već uređenih prostora iz kojeg razloga nismo planirali stavke za uređenje ovih restorana u Godišnjem planu nabave za 2018.</w:t>
      </w:r>
    </w:p>
    <w:p w:rsidR="0046419E" w:rsidRPr="00BE7BCE" w:rsidRDefault="0046419E" w:rsidP="00BE7BCE">
      <w:pPr>
        <w:spacing w:after="0" w:line="240" w:lineRule="auto"/>
        <w:jc w:val="both"/>
        <w:rPr>
          <w:bCs/>
        </w:rPr>
      </w:pPr>
    </w:p>
    <w:p w:rsidR="003A6EE0" w:rsidRDefault="003A6EE0" w:rsidP="002C18E7">
      <w:pPr>
        <w:spacing w:after="0" w:line="240" w:lineRule="auto"/>
        <w:jc w:val="both"/>
        <w:rPr>
          <w:b/>
          <w:bCs/>
        </w:rPr>
      </w:pPr>
    </w:p>
    <w:p w:rsidR="00157B69" w:rsidRDefault="00157B69" w:rsidP="00716365">
      <w:pPr>
        <w:spacing w:after="0" w:line="240" w:lineRule="auto"/>
        <w:jc w:val="both"/>
        <w:rPr>
          <w:rFonts w:cs="Arial"/>
          <w:b/>
        </w:rPr>
      </w:pPr>
    </w:p>
    <w:p w:rsidR="000E3D70" w:rsidRDefault="000E3D70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9F6B4A" w:rsidRDefault="009F6B4A" w:rsidP="00674F29">
      <w:pPr>
        <w:spacing w:after="0" w:line="240" w:lineRule="auto"/>
        <w:rPr>
          <w:b/>
          <w:bCs/>
        </w:rPr>
      </w:pPr>
    </w:p>
    <w:p w:rsidR="000E3D70" w:rsidRDefault="000E3D70" w:rsidP="00674F29">
      <w:pPr>
        <w:spacing w:after="0" w:line="240" w:lineRule="auto"/>
        <w:rPr>
          <w:b/>
          <w:bCs/>
        </w:rPr>
      </w:pPr>
    </w:p>
    <w:p w:rsidR="002A0DE0" w:rsidRPr="00735C7E" w:rsidRDefault="002A0DE0" w:rsidP="00735C7E">
      <w:pPr>
        <w:pStyle w:val="Odlomakpopisa"/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</w:rPr>
      </w:pPr>
      <w:r w:rsidRPr="00735C7E">
        <w:rPr>
          <w:b/>
          <w:bCs/>
          <w:sz w:val="28"/>
          <w:szCs w:val="28"/>
        </w:rPr>
        <w:t>FINANCIJSKI PLAN</w:t>
      </w:r>
    </w:p>
    <w:p w:rsidR="002A0DE0" w:rsidRDefault="002A0DE0" w:rsidP="00674F29">
      <w:pPr>
        <w:spacing w:after="0" w:line="240" w:lineRule="auto"/>
        <w:rPr>
          <w:b/>
          <w:bCs/>
        </w:rPr>
      </w:pPr>
    </w:p>
    <w:p w:rsidR="00AA3572" w:rsidRDefault="00AA3572" w:rsidP="00674F29">
      <w:pPr>
        <w:spacing w:after="0" w:line="240" w:lineRule="auto"/>
        <w:rPr>
          <w:b/>
          <w:bCs/>
        </w:rPr>
      </w:pPr>
    </w:p>
    <w:p w:rsidR="009B706C" w:rsidRPr="00674F29" w:rsidRDefault="00735C7E" w:rsidP="009B706C">
      <w:pPr>
        <w:tabs>
          <w:tab w:val="left" w:pos="36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="009B706C" w:rsidRPr="00674F29">
        <w:rPr>
          <w:b/>
          <w:bCs/>
        </w:rPr>
        <w:t>.</w:t>
      </w:r>
      <w:r w:rsidR="009E6517">
        <w:rPr>
          <w:b/>
          <w:bCs/>
        </w:rPr>
        <w:t>1</w:t>
      </w:r>
      <w:r w:rsidR="00BE63F4">
        <w:rPr>
          <w:b/>
          <w:bCs/>
        </w:rPr>
        <w:t>.</w:t>
      </w:r>
      <w:r w:rsidR="009B706C" w:rsidRPr="00674F29">
        <w:rPr>
          <w:b/>
          <w:bCs/>
        </w:rPr>
        <w:t xml:space="preserve"> POLAZNE OSNOVE FINANCIJSKOG PLANA </w:t>
      </w:r>
    </w:p>
    <w:p w:rsidR="009B706C" w:rsidRPr="00674F29" w:rsidRDefault="009B706C" w:rsidP="009B706C">
      <w:pPr>
        <w:spacing w:after="0" w:line="240" w:lineRule="auto"/>
        <w:ind w:left="360"/>
        <w:jc w:val="both"/>
      </w:pPr>
    </w:p>
    <w:p w:rsidR="009B706C" w:rsidRPr="00674F29" w:rsidRDefault="009B706C" w:rsidP="009B706C">
      <w:pPr>
        <w:spacing w:after="0" w:line="240" w:lineRule="auto"/>
        <w:jc w:val="both"/>
      </w:pPr>
      <w:r w:rsidRPr="00674F29">
        <w:t>Osnove financijskog plana čine:</w:t>
      </w:r>
    </w:p>
    <w:p w:rsidR="009B706C" w:rsidRPr="00674F29" w:rsidRDefault="009B706C" w:rsidP="009B706C">
      <w:pPr>
        <w:spacing w:after="0" w:line="240" w:lineRule="auto"/>
        <w:ind w:left="360"/>
        <w:jc w:val="both"/>
      </w:pP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subvencija MZOS-a za prehranu studenata za 10,5 mjeseci u godišnjem iznosu od prosječno 16,10 kuna po obroku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 xml:space="preserve">subvencija MZOS-a za smještaj studenata u studentskim domovima u iznosu od </w:t>
      </w:r>
      <w:r w:rsidR="00B8645D">
        <w:t>2</w:t>
      </w:r>
      <w:r w:rsidRPr="0037583E">
        <w:t>00,00 kuna po krevetu za 10,5 mjeseci u godini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participacija studenata za prehranu od 6,50 kuna po obroku</w:t>
      </w:r>
    </w:p>
    <w:p w:rsidR="00B8645D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C5F87">
        <w:t>participacija studenata za smještaj u studentskim domovima od prosječno 48</w:t>
      </w:r>
      <w:r w:rsidR="007C439D">
        <w:t>7</w:t>
      </w:r>
      <w:r w:rsidRPr="003C5F87">
        <w:t>,</w:t>
      </w:r>
      <w:r w:rsidR="007C439D">
        <w:t>32</w:t>
      </w:r>
      <w:r w:rsidRPr="003C5F87">
        <w:t xml:space="preserve"> kuna po ležaju ovisno o kategorizaciji soba odnosno paviljona i domova, a ukupni kapacitet ležajeva je 7.556 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prihodi od posredovanja pri zapošljavanju studenata (student servis)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 xml:space="preserve">prihodi od prodaje roba i usluga koje SC-pruža drugim pravnim i fizičkim osobama 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prihodi od najma oprema i prostora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prihodi od donacija i sponzora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>ostali prihodi od djelatnosti smještaja (trošak obrade natječajne dokumentacije i troškova useljenja)</w:t>
      </w:r>
    </w:p>
    <w:p w:rsidR="009B706C" w:rsidRPr="0037583E" w:rsidRDefault="009B706C" w:rsidP="009B706C">
      <w:pPr>
        <w:numPr>
          <w:ilvl w:val="0"/>
          <w:numId w:val="3"/>
        </w:numPr>
        <w:spacing w:after="0" w:line="240" w:lineRule="auto"/>
        <w:jc w:val="both"/>
      </w:pPr>
      <w:r w:rsidRPr="0037583E">
        <w:t xml:space="preserve">financijski prihodi </w:t>
      </w:r>
    </w:p>
    <w:p w:rsidR="009B706C" w:rsidRPr="00674F29" w:rsidRDefault="009B706C" w:rsidP="009B706C">
      <w:pPr>
        <w:spacing w:after="0" w:line="240" w:lineRule="auto"/>
        <w:jc w:val="both"/>
      </w:pPr>
    </w:p>
    <w:p w:rsidR="009B706C" w:rsidRPr="00674F29" w:rsidRDefault="009B706C" w:rsidP="009B706C">
      <w:pPr>
        <w:spacing w:after="0" w:line="240" w:lineRule="auto"/>
        <w:jc w:val="both"/>
      </w:pPr>
      <w:r w:rsidRPr="00674F29">
        <w:t xml:space="preserve">Promatrano s aspekta </w:t>
      </w:r>
      <w:r>
        <w:t>Zakona o financijskom poslovanju i</w:t>
      </w:r>
      <w:r w:rsidRPr="00674F29">
        <w:t xml:space="preserve"> računovodstvu neprofitnih organizacija, sve navedene prihode grupiramo odnosno planiramo kao:</w:t>
      </w:r>
    </w:p>
    <w:p w:rsidR="007C439D" w:rsidRDefault="009B706C" w:rsidP="007C439D">
      <w:pPr>
        <w:spacing w:after="0" w:line="240" w:lineRule="auto"/>
        <w:jc w:val="both"/>
      </w:pPr>
      <w:r w:rsidRPr="00674F29">
        <w:t xml:space="preserve">  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OD PRODAJE ROBA i  PRUŽANJA USLUGA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OD ČLANARINA (student servis)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PO POSEBNIM PROPISIMA (subvencija)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OD IMOVINE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OD DONACIJA</w:t>
      </w:r>
      <w:r w:rsidR="007A72A0" w:rsidRPr="004F51BE">
        <w:t>-naplaćeni</w:t>
      </w:r>
    </w:p>
    <w:p w:rsidR="009B706C" w:rsidRPr="004F51BE" w:rsidRDefault="009B706C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OSTALI PRIHODI</w:t>
      </w:r>
      <w:r w:rsidR="007A72A0" w:rsidRPr="004F51BE">
        <w:t xml:space="preserve"> i</w:t>
      </w:r>
    </w:p>
    <w:p w:rsidR="007A72A0" w:rsidRPr="004F51BE" w:rsidRDefault="007A72A0" w:rsidP="00C066B5">
      <w:pPr>
        <w:numPr>
          <w:ilvl w:val="0"/>
          <w:numId w:val="17"/>
        </w:numPr>
        <w:spacing w:after="0" w:line="240" w:lineRule="auto"/>
        <w:jc w:val="both"/>
      </w:pPr>
      <w:r w:rsidRPr="004F51BE">
        <w:t>PRIHODI OD POVEZANIH NEPROFITNIH ORGANIZACIJA</w:t>
      </w:r>
    </w:p>
    <w:p w:rsidR="007C439D" w:rsidRPr="004F51BE" w:rsidRDefault="007C439D" w:rsidP="009B706C">
      <w:pPr>
        <w:spacing w:after="0" w:line="240" w:lineRule="auto"/>
        <w:jc w:val="both"/>
      </w:pPr>
    </w:p>
    <w:p w:rsidR="009B706C" w:rsidRPr="004F51BE" w:rsidRDefault="007C439D" w:rsidP="009B706C">
      <w:pPr>
        <w:spacing w:after="0" w:line="240" w:lineRule="auto"/>
        <w:jc w:val="both"/>
      </w:pPr>
      <w:r w:rsidRPr="004F51BE">
        <w:t>Rashode pak promatramo kroz s</w:t>
      </w:r>
      <w:r w:rsidR="009B706C" w:rsidRPr="004F51BE">
        <w:t>ljedeće grupe</w:t>
      </w:r>
      <w:r w:rsidRPr="004F51BE">
        <w:t>:</w:t>
      </w:r>
    </w:p>
    <w:p w:rsidR="009B706C" w:rsidRPr="004F51BE" w:rsidRDefault="009B706C" w:rsidP="009B706C">
      <w:pPr>
        <w:spacing w:after="0" w:line="240" w:lineRule="auto"/>
        <w:jc w:val="both"/>
      </w:pPr>
    </w:p>
    <w:p w:rsidR="009B706C" w:rsidRPr="004F51BE" w:rsidRDefault="009B706C" w:rsidP="009B706C">
      <w:pPr>
        <w:numPr>
          <w:ilvl w:val="0"/>
          <w:numId w:val="4"/>
        </w:numPr>
        <w:spacing w:after="0" w:line="240" w:lineRule="auto"/>
        <w:jc w:val="both"/>
      </w:pPr>
      <w:r w:rsidRPr="004F51BE">
        <w:t>RASHODI ZA ZAPOSLENE</w:t>
      </w:r>
    </w:p>
    <w:p w:rsidR="009B706C" w:rsidRPr="004F51BE" w:rsidRDefault="009B706C" w:rsidP="009B706C">
      <w:pPr>
        <w:numPr>
          <w:ilvl w:val="0"/>
          <w:numId w:val="4"/>
        </w:numPr>
        <w:spacing w:after="0" w:line="240" w:lineRule="auto"/>
        <w:jc w:val="both"/>
      </w:pPr>
      <w:r w:rsidRPr="004F51BE">
        <w:t>MATERIJALNI RASHODI</w:t>
      </w:r>
    </w:p>
    <w:p w:rsidR="009B706C" w:rsidRPr="004F51BE" w:rsidRDefault="009B706C" w:rsidP="009B706C">
      <w:pPr>
        <w:numPr>
          <w:ilvl w:val="0"/>
          <w:numId w:val="4"/>
        </w:numPr>
        <w:spacing w:after="0" w:line="240" w:lineRule="auto"/>
        <w:jc w:val="both"/>
      </w:pPr>
      <w:r w:rsidRPr="004F51BE">
        <w:t>RASHODI AMORTIZACIJE</w:t>
      </w:r>
    </w:p>
    <w:p w:rsidR="009B706C" w:rsidRPr="00674F29" w:rsidRDefault="009B706C" w:rsidP="009B706C">
      <w:pPr>
        <w:numPr>
          <w:ilvl w:val="0"/>
          <w:numId w:val="4"/>
        </w:numPr>
        <w:spacing w:after="0" w:line="240" w:lineRule="auto"/>
        <w:jc w:val="both"/>
      </w:pPr>
      <w:r w:rsidRPr="00674F29">
        <w:t>FINANCIJSKI RASHODI</w:t>
      </w:r>
    </w:p>
    <w:p w:rsidR="009B706C" w:rsidRPr="00674F29" w:rsidRDefault="007A72A0" w:rsidP="009B706C">
      <w:pPr>
        <w:numPr>
          <w:ilvl w:val="0"/>
          <w:numId w:val="4"/>
        </w:numPr>
        <w:spacing w:after="0" w:line="240" w:lineRule="auto"/>
        <w:jc w:val="both"/>
      </w:pPr>
      <w:r>
        <w:t xml:space="preserve">DONACIJE I TRANSFERI </w:t>
      </w:r>
    </w:p>
    <w:p w:rsidR="009B706C" w:rsidRDefault="009B706C" w:rsidP="009B706C">
      <w:pPr>
        <w:numPr>
          <w:ilvl w:val="0"/>
          <w:numId w:val="4"/>
        </w:numPr>
        <w:spacing w:after="0" w:line="240" w:lineRule="auto"/>
        <w:jc w:val="both"/>
      </w:pPr>
      <w:r w:rsidRPr="00674F29">
        <w:t>OSTALI RASHODI</w:t>
      </w:r>
      <w:r w:rsidR="007A72A0">
        <w:t xml:space="preserve"> I</w:t>
      </w:r>
    </w:p>
    <w:p w:rsidR="007A72A0" w:rsidRPr="00674F29" w:rsidRDefault="007A72A0" w:rsidP="009B706C">
      <w:pPr>
        <w:numPr>
          <w:ilvl w:val="0"/>
          <w:numId w:val="4"/>
        </w:numPr>
        <w:spacing w:after="0" w:line="240" w:lineRule="auto"/>
        <w:jc w:val="both"/>
      </w:pPr>
      <w:r>
        <w:t>RASHODI VEZANI UZ FINANCIRANJE POVEZANIH NEPROFITNIH ORGANIZACIJA</w:t>
      </w:r>
    </w:p>
    <w:p w:rsidR="00C648D5" w:rsidRDefault="00C648D5" w:rsidP="009B706C">
      <w:pPr>
        <w:spacing w:after="0" w:line="240" w:lineRule="auto"/>
        <w:jc w:val="both"/>
      </w:pPr>
    </w:p>
    <w:p w:rsidR="00C648D5" w:rsidRDefault="00C648D5" w:rsidP="009B706C">
      <w:pPr>
        <w:spacing w:after="0" w:line="240" w:lineRule="auto"/>
        <w:jc w:val="both"/>
      </w:pPr>
    </w:p>
    <w:p w:rsidR="00C648D5" w:rsidRDefault="00C648D5" w:rsidP="009B706C">
      <w:pPr>
        <w:spacing w:after="0" w:line="240" w:lineRule="auto"/>
        <w:jc w:val="both"/>
      </w:pPr>
    </w:p>
    <w:p w:rsidR="00C648D5" w:rsidRDefault="00C648D5" w:rsidP="009B706C">
      <w:pPr>
        <w:spacing w:after="0" w:line="240" w:lineRule="auto"/>
        <w:jc w:val="both"/>
      </w:pPr>
    </w:p>
    <w:p w:rsidR="00C648D5" w:rsidRDefault="00C648D5" w:rsidP="009B706C">
      <w:pPr>
        <w:spacing w:after="0" w:line="240" w:lineRule="auto"/>
        <w:jc w:val="both"/>
        <w:rPr>
          <w:b/>
          <w:bCs/>
        </w:rPr>
      </w:pPr>
    </w:p>
    <w:p w:rsidR="00D9569B" w:rsidRDefault="00D9569B" w:rsidP="009B706C">
      <w:pPr>
        <w:spacing w:after="0" w:line="240" w:lineRule="auto"/>
        <w:jc w:val="both"/>
        <w:rPr>
          <w:b/>
          <w:bCs/>
        </w:rPr>
      </w:pPr>
    </w:p>
    <w:p w:rsidR="00D9569B" w:rsidRDefault="00D9569B" w:rsidP="009B706C">
      <w:pPr>
        <w:spacing w:after="0" w:line="240" w:lineRule="auto"/>
        <w:jc w:val="both"/>
        <w:rPr>
          <w:b/>
          <w:bCs/>
        </w:rPr>
      </w:pPr>
    </w:p>
    <w:p w:rsidR="009B706C" w:rsidRPr="00674F29" w:rsidRDefault="00735C7E" w:rsidP="009B70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="009B706C" w:rsidRPr="00674F29">
        <w:rPr>
          <w:b/>
          <w:bCs/>
        </w:rPr>
        <w:t>.</w:t>
      </w:r>
      <w:r w:rsidR="005C0384">
        <w:rPr>
          <w:b/>
          <w:bCs/>
        </w:rPr>
        <w:t>2</w:t>
      </w:r>
      <w:r w:rsidR="009B706C" w:rsidRPr="00674F29">
        <w:rPr>
          <w:b/>
          <w:bCs/>
        </w:rPr>
        <w:t>. PLAN PRIHODA I RASHODA STUDENTSKOG CENTRA ZA 201</w:t>
      </w:r>
      <w:r w:rsidR="00C6343A">
        <w:rPr>
          <w:b/>
          <w:bCs/>
        </w:rPr>
        <w:t>8</w:t>
      </w:r>
      <w:r w:rsidR="009B706C" w:rsidRPr="00674F29">
        <w:rPr>
          <w:b/>
          <w:bCs/>
        </w:rPr>
        <w:t>. GODINU</w:t>
      </w:r>
    </w:p>
    <w:p w:rsidR="009B706C" w:rsidRPr="00674F29" w:rsidRDefault="009B706C" w:rsidP="009B706C">
      <w:pPr>
        <w:spacing w:after="0" w:line="240" w:lineRule="auto"/>
        <w:jc w:val="both"/>
      </w:pPr>
    </w:p>
    <w:p w:rsidR="00D9569B" w:rsidRDefault="00D9569B" w:rsidP="009B706C">
      <w:pPr>
        <w:tabs>
          <w:tab w:val="left" w:pos="6840"/>
        </w:tabs>
        <w:spacing w:after="0" w:line="240" w:lineRule="auto"/>
        <w:jc w:val="both"/>
      </w:pPr>
    </w:p>
    <w:p w:rsidR="00D9569B" w:rsidRDefault="00D9569B" w:rsidP="009B706C">
      <w:pPr>
        <w:tabs>
          <w:tab w:val="left" w:pos="6840"/>
        </w:tabs>
        <w:spacing w:after="0" w:line="240" w:lineRule="auto"/>
        <w:jc w:val="both"/>
      </w:pPr>
    </w:p>
    <w:p w:rsidR="0019303B" w:rsidRDefault="00B8645D" w:rsidP="009B706C">
      <w:pPr>
        <w:tabs>
          <w:tab w:val="left" w:pos="6840"/>
        </w:tabs>
        <w:spacing w:after="0" w:line="240" w:lineRule="auto"/>
        <w:jc w:val="both"/>
      </w:pPr>
      <w:r>
        <w:t>Plan prihoda i rashoda za 201</w:t>
      </w:r>
      <w:r w:rsidR="00C6343A">
        <w:t>8</w:t>
      </w:r>
      <w:r w:rsidR="009B706C" w:rsidRPr="0085475A">
        <w:t>. godinu temelji se na naprijed iznesenim osnovama, te na osnovu financijskih pokazatelja u 201</w:t>
      </w:r>
      <w:r w:rsidR="00C6343A">
        <w:t>6</w:t>
      </w:r>
      <w:r w:rsidR="009B706C" w:rsidRPr="0085475A">
        <w:t>. i 201</w:t>
      </w:r>
      <w:r w:rsidR="00C6343A">
        <w:t>7</w:t>
      </w:r>
      <w:r w:rsidR="009B706C" w:rsidRPr="0085475A">
        <w:t>. godini</w:t>
      </w:r>
      <w:r w:rsidR="009B706C" w:rsidRPr="005C0384">
        <w:t>.</w:t>
      </w:r>
      <w:r w:rsidR="0019303B">
        <w:t>:</w:t>
      </w:r>
    </w:p>
    <w:p w:rsidR="0019303B" w:rsidRDefault="0019303B" w:rsidP="009B706C">
      <w:pPr>
        <w:tabs>
          <w:tab w:val="left" w:pos="6840"/>
        </w:tabs>
        <w:spacing w:after="0" w:line="240" w:lineRule="auto"/>
        <w:jc w:val="both"/>
      </w:pPr>
    </w:p>
    <w:tbl>
      <w:tblPr>
        <w:tblW w:w="7400" w:type="dxa"/>
        <w:tblInd w:w="98" w:type="dxa"/>
        <w:tblLook w:val="04A0" w:firstRow="1" w:lastRow="0" w:firstColumn="1" w:lastColumn="0" w:noHBand="0" w:noVBand="1"/>
      </w:tblPr>
      <w:tblGrid>
        <w:gridCol w:w="487"/>
        <w:gridCol w:w="2220"/>
        <w:gridCol w:w="1220"/>
        <w:gridCol w:w="1217"/>
        <w:gridCol w:w="1217"/>
        <w:gridCol w:w="1240"/>
      </w:tblGrid>
      <w:tr w:rsidR="0019303B" w:rsidRPr="0019303B" w:rsidTr="0019303B">
        <w:trPr>
          <w:trHeight w:val="5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Kto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Opis Pozicije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9303B" w:rsidRPr="0019303B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Realizacija do 30.9.17.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Prihodi od prod. roba i usl.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77.482.949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65.644.420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77.902.842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54.637.435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Prihodi od članarina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48.708.723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51.543.222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54.272.304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41.087.734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Prihodi po pos. propisima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80.993.672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79.226.381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78.606.523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53.716.194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1.912.858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1.539.027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1.870.572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1.228.923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32.490.955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35.931.248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4.173.384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17.006.495</w:t>
            </w:r>
          </w:p>
        </w:tc>
      </w:tr>
      <w:tr w:rsidR="0019303B" w:rsidRPr="0019303B" w:rsidTr="0019303B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10.595.571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3.610.401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2.682.589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2.453.127</w:t>
            </w:r>
          </w:p>
        </w:tc>
      </w:tr>
      <w:tr w:rsidR="0019303B" w:rsidRPr="0019303B" w:rsidTr="0019303B">
        <w:trPr>
          <w:trHeight w:val="49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Ukupno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252.184.728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237.494.699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219.508.214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170.129.908</w:t>
            </w:r>
          </w:p>
        </w:tc>
      </w:tr>
      <w:tr w:rsidR="0019303B" w:rsidRPr="0019303B" w:rsidTr="0019303B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95.007.502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87.935.647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88.626.019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66.592.871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119.933.464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109.214.592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119.097.383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76.452.696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Amortizacija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4.145.027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2.974.490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3.042.707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5.850.769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2.530.620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1.832.241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3.017.843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2.801.004</w:t>
            </w:r>
          </w:p>
        </w:tc>
      </w:tr>
      <w:tr w:rsidR="0019303B" w:rsidRPr="0019303B" w:rsidTr="0019303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1.400.375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8.601.100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9.800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18.807</w:t>
            </w:r>
          </w:p>
        </w:tc>
      </w:tr>
      <w:tr w:rsidR="0019303B" w:rsidRPr="0019303B" w:rsidTr="0019303B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18.217.422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10.977.596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3.277.623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3.021.805</w:t>
            </w:r>
          </w:p>
        </w:tc>
      </w:tr>
      <w:tr w:rsidR="0019303B" w:rsidRPr="0019303B" w:rsidTr="0019303B">
        <w:trPr>
          <w:trHeight w:val="51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Ukupno Rashodi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241.234.411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221.535.665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217.071.375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154.737.952</w:t>
            </w:r>
          </w:p>
        </w:tc>
      </w:tr>
      <w:tr w:rsidR="0019303B" w:rsidRPr="0019303B" w:rsidTr="0019303B">
        <w:trPr>
          <w:trHeight w:val="49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3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03B">
              <w:rPr>
                <w:rFonts w:ascii="Arial" w:eastAsia="Times New Roman" w:hAnsi="Arial" w:cs="Arial"/>
                <w:sz w:val="16"/>
                <w:szCs w:val="16"/>
              </w:rPr>
              <w:t>RAZLIKA PRIHODI-RASHODI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10.950.317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15.959.034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2.436.839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9303B" w:rsidRPr="0019303B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303B">
              <w:rPr>
                <w:rFonts w:ascii="Arial" w:eastAsia="Times New Roman" w:hAnsi="Arial" w:cs="Arial"/>
                <w:sz w:val="18"/>
                <w:szCs w:val="18"/>
              </w:rPr>
              <w:t>15.391.956</w:t>
            </w:r>
          </w:p>
        </w:tc>
      </w:tr>
    </w:tbl>
    <w:p w:rsidR="0019303B" w:rsidRDefault="0019303B" w:rsidP="009B706C">
      <w:pPr>
        <w:tabs>
          <w:tab w:val="left" w:pos="6840"/>
        </w:tabs>
        <w:spacing w:after="0" w:line="240" w:lineRule="auto"/>
        <w:jc w:val="both"/>
      </w:pPr>
    </w:p>
    <w:p w:rsidR="00D9569B" w:rsidRDefault="00D9569B" w:rsidP="009B706C">
      <w:pPr>
        <w:tabs>
          <w:tab w:val="left" w:pos="6840"/>
        </w:tabs>
        <w:spacing w:after="0" w:line="240" w:lineRule="auto"/>
        <w:jc w:val="both"/>
      </w:pPr>
    </w:p>
    <w:p w:rsidR="00D9569B" w:rsidRDefault="00D9569B" w:rsidP="009B706C">
      <w:pPr>
        <w:tabs>
          <w:tab w:val="left" w:pos="6840"/>
        </w:tabs>
        <w:spacing w:after="0" w:line="240" w:lineRule="auto"/>
        <w:jc w:val="both"/>
      </w:pPr>
    </w:p>
    <w:p w:rsidR="00E54290" w:rsidRDefault="009B706C" w:rsidP="009B706C">
      <w:pPr>
        <w:tabs>
          <w:tab w:val="left" w:pos="6840"/>
        </w:tabs>
        <w:spacing w:after="0" w:line="240" w:lineRule="auto"/>
        <w:jc w:val="both"/>
      </w:pPr>
      <w:r w:rsidRPr="005C0384">
        <w:t>Uvažavajući navedeno, ukupni prihodi u 201</w:t>
      </w:r>
      <w:r w:rsidR="00C6343A">
        <w:t>8</w:t>
      </w:r>
      <w:r w:rsidRPr="005C0384">
        <w:t xml:space="preserve">. godini planiraju se u iznosu od  </w:t>
      </w:r>
      <w:r w:rsidR="00B63853">
        <w:t>2</w:t>
      </w:r>
      <w:r w:rsidR="00E15B40">
        <w:t>2</w:t>
      </w:r>
      <w:r w:rsidR="00B95DB0">
        <w:t>9.632.736</w:t>
      </w:r>
      <w:r w:rsidR="00C6343A">
        <w:t xml:space="preserve"> kuna, </w:t>
      </w:r>
      <w:r w:rsidRPr="005C0384">
        <w:t xml:space="preserve">a rashodi redovne djelatnosti planiraju se u iznosu od  </w:t>
      </w:r>
      <w:r w:rsidRPr="00E54290">
        <w:t>21</w:t>
      </w:r>
      <w:r w:rsidR="00E52F75">
        <w:t>8</w:t>
      </w:r>
      <w:r w:rsidRPr="00E54290">
        <w:t>.</w:t>
      </w:r>
      <w:r w:rsidR="00CD44F3">
        <w:t>522</w:t>
      </w:r>
      <w:r w:rsidR="00C6343A">
        <w:t>.816</w:t>
      </w:r>
      <w:r w:rsidRPr="005C0384">
        <w:t xml:space="preserve"> kuna</w:t>
      </w:r>
      <w:r w:rsidR="00E54290">
        <w:t>.</w:t>
      </w:r>
    </w:p>
    <w:p w:rsidR="0019303B" w:rsidRDefault="0019303B" w:rsidP="009B706C">
      <w:pPr>
        <w:tabs>
          <w:tab w:val="left" w:pos="6840"/>
        </w:tabs>
        <w:spacing w:after="0" w:line="240" w:lineRule="auto"/>
        <w:jc w:val="both"/>
      </w:pPr>
    </w:p>
    <w:p w:rsidR="00D9569B" w:rsidRDefault="00D9569B" w:rsidP="009B706C">
      <w:pPr>
        <w:tabs>
          <w:tab w:val="left" w:pos="6840"/>
        </w:tabs>
        <w:spacing w:after="0" w:line="240" w:lineRule="auto"/>
        <w:jc w:val="both"/>
      </w:pPr>
    </w:p>
    <w:p w:rsidR="009B706C" w:rsidRDefault="00E54290" w:rsidP="009B706C">
      <w:pPr>
        <w:tabs>
          <w:tab w:val="left" w:pos="6840"/>
        </w:tabs>
        <w:spacing w:after="0" w:line="240" w:lineRule="auto"/>
        <w:jc w:val="both"/>
      </w:pPr>
      <w:r>
        <w:t xml:space="preserve">Prema tome, ukupno je planiran višak prihoda u iznosu od </w:t>
      </w:r>
      <w:r w:rsidR="00C6343A">
        <w:t>1</w:t>
      </w:r>
      <w:r w:rsidR="00B95DB0">
        <w:t>1</w:t>
      </w:r>
      <w:r w:rsidR="00E52F75">
        <w:t>.</w:t>
      </w:r>
      <w:r w:rsidR="00B95DB0">
        <w:t>109.920</w:t>
      </w:r>
      <w:r>
        <w:t xml:space="preserve"> kn</w:t>
      </w:r>
      <w:r w:rsidR="00C6343A">
        <w:t>.</w:t>
      </w:r>
    </w:p>
    <w:p w:rsidR="002B06F5" w:rsidRDefault="002B06F5" w:rsidP="009B706C">
      <w:pPr>
        <w:tabs>
          <w:tab w:val="left" w:pos="6840"/>
        </w:tabs>
        <w:spacing w:after="0" w:line="240" w:lineRule="auto"/>
        <w:jc w:val="both"/>
      </w:pPr>
    </w:p>
    <w:p w:rsidR="00C25DE5" w:rsidRDefault="00C25DE5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9569B" w:rsidRDefault="00D9569B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B706C" w:rsidRPr="00B2681A" w:rsidRDefault="002B06F5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B2681A">
        <w:rPr>
          <w:b/>
          <w:sz w:val="24"/>
          <w:szCs w:val="24"/>
          <w:u w:val="single"/>
        </w:rPr>
        <w:t>FINANCIJSKI PLAN</w:t>
      </w:r>
      <w:r w:rsidR="00B2681A">
        <w:rPr>
          <w:b/>
          <w:sz w:val="24"/>
          <w:szCs w:val="24"/>
          <w:u w:val="single"/>
        </w:rPr>
        <w:t xml:space="preserve"> ZA 2018.g.</w:t>
      </w:r>
    </w:p>
    <w:p w:rsidR="00C25DE5" w:rsidRPr="00B2681A" w:rsidRDefault="00C25DE5" w:rsidP="002B06F5">
      <w:pPr>
        <w:tabs>
          <w:tab w:val="left" w:pos="684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B706C" w:rsidRPr="008B3E95" w:rsidRDefault="009B706C" w:rsidP="009B706C">
      <w:pPr>
        <w:spacing w:after="0" w:line="240" w:lineRule="auto"/>
        <w:rPr>
          <w:highlight w:val="yellow"/>
        </w:rPr>
      </w:pPr>
      <w:r w:rsidRPr="008B3E95">
        <w:rPr>
          <w:b/>
          <w:highlight w:val="yellow"/>
          <w:u w:val="single"/>
        </w:rPr>
        <w:t xml:space="preserve">                                        </w:t>
      </w:r>
      <w:r w:rsidRPr="008B3E95">
        <w:rPr>
          <w:highlight w:val="yellow"/>
        </w:rPr>
        <w:t xml:space="preserve"> </w:t>
      </w:r>
    </w:p>
    <w:tbl>
      <w:tblPr>
        <w:tblW w:w="8180" w:type="dxa"/>
        <w:tblInd w:w="98" w:type="dxa"/>
        <w:tblLook w:val="04A0" w:firstRow="1" w:lastRow="0" w:firstColumn="1" w:lastColumn="0" w:noHBand="0" w:noVBand="1"/>
      </w:tblPr>
      <w:tblGrid>
        <w:gridCol w:w="550"/>
        <w:gridCol w:w="550"/>
        <w:gridCol w:w="5680"/>
        <w:gridCol w:w="1500"/>
      </w:tblGrid>
      <w:tr w:rsidR="00184BC5" w:rsidRPr="00184BC5" w:rsidTr="00184BC5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84BC5" w:rsidRPr="00184BC5" w:rsidRDefault="00184BC5" w:rsidP="0018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84BC5" w:rsidRPr="00184BC5" w:rsidRDefault="00184BC5" w:rsidP="0018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TEKUĆE GODINE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84BC5" w:rsidRPr="00184BC5" w:rsidRDefault="00184BC5" w:rsidP="0018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229.632.736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82.646.000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82.646.000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članarina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55.807.840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članarina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55.807.840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79.839.075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79.839.075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1.800.000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1.044.000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756.000</w:t>
            </w:r>
          </w:p>
        </w:tc>
      </w:tr>
      <w:tr w:rsidR="00184BC5" w:rsidRPr="0065182C" w:rsidTr="00C25DE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donacija*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9.179.820</w:t>
            </w:r>
          </w:p>
        </w:tc>
      </w:tr>
      <w:tr w:rsidR="00184BC5" w:rsidRPr="0065182C" w:rsidTr="00C25D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donacija iz proračuna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25DE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4BC5" w:rsidRPr="00184BC5" w:rsidTr="00C25D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trgovačkih društava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320.820</w:t>
            </w:r>
          </w:p>
        </w:tc>
      </w:tr>
      <w:tr w:rsidR="00184BC5" w:rsidRPr="0065182C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prihodi od donacija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8.859.000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naknada štete i refundacija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Prihodi od prodaje dugotrajne imovine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nespomenuti prihodi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210.000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povezanih neprofitnih organizacija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TEKUĆE GODINE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218.522.816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91.925.000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75.815.000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3.350.000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12.760.000</w:t>
            </w:r>
          </w:p>
        </w:tc>
      </w:tr>
      <w:tr w:rsidR="00184BC5" w:rsidRPr="0065182C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111.778.000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6.160.000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Naknade volonterima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32.244.000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73.216.000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nespomenuti 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158.000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Amortizacija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11.704.816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Amortizacija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11.704.816</w:t>
            </w:r>
          </w:p>
        </w:tc>
      </w:tr>
      <w:tr w:rsidR="00184BC5" w:rsidRPr="0065182C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1.890.000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1.890.000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1.220.000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300.000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Ostali nespomenuti rashodi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920.000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financiranja povezanih neprofitnih organizacija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PRIHODA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11.109.920</w:t>
            </w:r>
          </w:p>
        </w:tc>
      </w:tr>
      <w:tr w:rsidR="00184BC5" w:rsidRPr="00184BC5" w:rsidTr="00184BC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C5" w:rsidRPr="00184BC5" w:rsidTr="00184BC5">
        <w:trPr>
          <w:trHeight w:val="28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PRENESENI VIŠAK 1.1.2018.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16.313.426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1. Preneseni višak na 1.1.2017.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4.813.426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2. Očekivani višak prihoda u 2017.(rezultat 2017.g.)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11.500.000</w:t>
            </w:r>
          </w:p>
        </w:tc>
      </w:tr>
      <w:tr w:rsidR="00184BC5" w:rsidRPr="00184BC5" w:rsidTr="00184BC5">
        <w:trPr>
          <w:trHeight w:val="285"/>
        </w:trPr>
        <w:tc>
          <w:tcPr>
            <w:tcW w:w="5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prihoda koji će se koristiti u 2018.g.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BC5" w:rsidRPr="004F51BE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1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84BC5" w:rsidRPr="00184BC5" w:rsidTr="00184BC5">
        <w:trPr>
          <w:trHeight w:val="27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Ostatak viška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BC5" w:rsidRPr="00184BC5" w:rsidRDefault="00184BC5" w:rsidP="00184B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11.109.920</w:t>
            </w:r>
          </w:p>
        </w:tc>
      </w:tr>
    </w:tbl>
    <w:p w:rsidR="009B706C" w:rsidRDefault="009B706C" w:rsidP="009B706C">
      <w:pPr>
        <w:spacing w:after="0" w:line="240" w:lineRule="auto"/>
      </w:pPr>
    </w:p>
    <w:p w:rsidR="00C25DE5" w:rsidRDefault="00C25DE5" w:rsidP="00F05C84">
      <w:pPr>
        <w:spacing w:after="0" w:line="240" w:lineRule="auto"/>
        <w:rPr>
          <w:b/>
          <w:bCs/>
        </w:rPr>
      </w:pPr>
    </w:p>
    <w:p w:rsidR="00C25DE5" w:rsidRDefault="00C25DE5" w:rsidP="00F05C84">
      <w:pPr>
        <w:spacing w:after="0" w:line="240" w:lineRule="auto"/>
        <w:rPr>
          <w:b/>
          <w:bCs/>
        </w:rPr>
      </w:pPr>
    </w:p>
    <w:p w:rsidR="00C25DE5" w:rsidRDefault="00C25DE5" w:rsidP="00F05C84">
      <w:pPr>
        <w:spacing w:after="0" w:line="240" w:lineRule="auto"/>
        <w:rPr>
          <w:b/>
          <w:bCs/>
        </w:rPr>
      </w:pPr>
    </w:p>
    <w:p w:rsidR="00F05C84" w:rsidRPr="00A757DC" w:rsidRDefault="00735C7E" w:rsidP="00F05C84">
      <w:pPr>
        <w:spacing w:after="0" w:line="240" w:lineRule="auto"/>
        <w:rPr>
          <w:b/>
        </w:rPr>
      </w:pPr>
      <w:r>
        <w:rPr>
          <w:b/>
          <w:bCs/>
        </w:rPr>
        <w:t>3</w:t>
      </w:r>
      <w:r w:rsidR="00696FDC" w:rsidRPr="00674F29">
        <w:rPr>
          <w:b/>
          <w:bCs/>
        </w:rPr>
        <w:t>.</w:t>
      </w:r>
      <w:r w:rsidR="00696FDC">
        <w:rPr>
          <w:b/>
          <w:bCs/>
        </w:rPr>
        <w:t>3</w:t>
      </w:r>
      <w:r w:rsidR="00696FDC" w:rsidRPr="00674F29">
        <w:rPr>
          <w:b/>
          <w:bCs/>
        </w:rPr>
        <w:t xml:space="preserve">. </w:t>
      </w:r>
      <w:r w:rsidR="00696FDC" w:rsidRPr="00A757DC">
        <w:rPr>
          <w:b/>
          <w:bCs/>
        </w:rPr>
        <w:t>OBRAZLOŽENJE PLANA PRIHODA I RASHODA</w:t>
      </w:r>
    </w:p>
    <w:p w:rsidR="009E4000" w:rsidRPr="00A757DC" w:rsidRDefault="009E4000" w:rsidP="00F43255">
      <w:pPr>
        <w:spacing w:after="0" w:line="240" w:lineRule="auto"/>
        <w:rPr>
          <w:b/>
        </w:rPr>
      </w:pPr>
    </w:p>
    <w:p w:rsidR="00F05C84" w:rsidRPr="00A757DC" w:rsidRDefault="00735C7E" w:rsidP="00F43255">
      <w:pPr>
        <w:spacing w:after="0" w:line="240" w:lineRule="auto"/>
        <w:rPr>
          <w:b/>
        </w:rPr>
      </w:pPr>
      <w:r>
        <w:rPr>
          <w:b/>
        </w:rPr>
        <w:t>3</w:t>
      </w:r>
      <w:r w:rsidR="00F43255" w:rsidRPr="00A757DC">
        <w:rPr>
          <w:b/>
        </w:rPr>
        <w:t>.3.1.</w:t>
      </w:r>
      <w:r w:rsidR="00F05C84" w:rsidRPr="00A757DC">
        <w:rPr>
          <w:b/>
        </w:rPr>
        <w:t>Prihodi</w:t>
      </w:r>
    </w:p>
    <w:p w:rsidR="00F43255" w:rsidRPr="003B03C4" w:rsidRDefault="00F43255" w:rsidP="00F43255">
      <w:pPr>
        <w:spacing w:after="0" w:line="240" w:lineRule="auto"/>
        <w:rPr>
          <w:highlight w:val="yellow"/>
        </w:rPr>
      </w:pPr>
    </w:p>
    <w:p w:rsidR="002F76F2" w:rsidRPr="0045592F" w:rsidRDefault="00F43255" w:rsidP="00C066B5">
      <w:pPr>
        <w:numPr>
          <w:ilvl w:val="0"/>
          <w:numId w:val="18"/>
        </w:numPr>
        <w:spacing w:after="0" w:line="240" w:lineRule="auto"/>
      </w:pPr>
      <w:r w:rsidRPr="0045592F">
        <w:t>Prihodi od prodaje roba i usluga</w:t>
      </w:r>
      <w:r w:rsidR="00B423F0" w:rsidRPr="0045592F">
        <w:t xml:space="preserve"> (31)</w:t>
      </w:r>
      <w:r w:rsidRPr="0045592F">
        <w:t xml:space="preserve"> ostvaruju se u Smještaju, Prehrani, Kulturi i Zajedni</w:t>
      </w:r>
      <w:r w:rsidR="00486215" w:rsidRPr="0045592F">
        <w:t xml:space="preserve">čkim poslovima. Planiraju se </w:t>
      </w:r>
      <w:r w:rsidR="00B95DB0" w:rsidRPr="0045592F">
        <w:t>6</w:t>
      </w:r>
      <w:r w:rsidR="00486215" w:rsidRPr="0045592F">
        <w:t>% veći prihodi po ovoj osnovi u odnosu na 201</w:t>
      </w:r>
      <w:r w:rsidR="00B95DB0" w:rsidRPr="0045592F">
        <w:t>6</w:t>
      </w:r>
      <w:r w:rsidR="00486215" w:rsidRPr="0045592F">
        <w:t xml:space="preserve">.g. </w:t>
      </w:r>
      <w:r w:rsidR="00B95DB0" w:rsidRPr="0045592F">
        <w:t>G</w:t>
      </w:r>
      <w:r w:rsidR="00486215" w:rsidRPr="0045592F">
        <w:t>enerator</w:t>
      </w:r>
      <w:r w:rsidR="00B95DB0" w:rsidRPr="0045592F">
        <w:t>i</w:t>
      </w:r>
      <w:r w:rsidR="00486215" w:rsidRPr="0045592F">
        <w:t xml:space="preserve"> prihoda u 201</w:t>
      </w:r>
      <w:r w:rsidR="00B95DB0" w:rsidRPr="0045592F">
        <w:t>8</w:t>
      </w:r>
      <w:r w:rsidR="00486215" w:rsidRPr="0045592F">
        <w:t>. sukladno planovima djelatnosti biti će Prehrana</w:t>
      </w:r>
      <w:r w:rsidR="00D40C72" w:rsidRPr="0045592F">
        <w:t xml:space="preserve">, Smještaj </w:t>
      </w:r>
      <w:r w:rsidR="00486215" w:rsidRPr="0045592F">
        <w:t xml:space="preserve">i Kultura što je obrazloženo  </w:t>
      </w:r>
      <w:r w:rsidR="002F76F2" w:rsidRPr="0045592F">
        <w:t xml:space="preserve">u pojedinačnim planovima aktivnosti i programa. </w:t>
      </w:r>
      <w:r w:rsidR="00486215" w:rsidRPr="0045592F">
        <w:t xml:space="preserve">Prihodi </w:t>
      </w:r>
      <w:r w:rsidR="00B423F0" w:rsidRPr="0045592F">
        <w:t>d</w:t>
      </w:r>
      <w:r w:rsidRPr="0045592F">
        <w:t xml:space="preserve">jelatnosti  </w:t>
      </w:r>
      <w:r w:rsidR="002F76F2" w:rsidRPr="0045592F">
        <w:t xml:space="preserve">Zajednički poslovi </w:t>
      </w:r>
      <w:r w:rsidR="00486215" w:rsidRPr="0045592F">
        <w:t xml:space="preserve">planirani su na razini </w:t>
      </w:r>
      <w:r w:rsidR="002F76F2" w:rsidRPr="0045592F">
        <w:t xml:space="preserve">ovogodišnjih očekivanih prihoda. </w:t>
      </w:r>
    </w:p>
    <w:p w:rsidR="00475BBE" w:rsidRPr="003F68FE" w:rsidRDefault="008E2BB1" w:rsidP="00C066B5">
      <w:pPr>
        <w:numPr>
          <w:ilvl w:val="0"/>
          <w:numId w:val="18"/>
        </w:numPr>
        <w:spacing w:after="0" w:line="240" w:lineRule="auto"/>
      </w:pPr>
      <w:r w:rsidRPr="0045592F">
        <w:t>Prihodi od članarina</w:t>
      </w:r>
      <w:r w:rsidRPr="003F68FE">
        <w:t xml:space="preserve"> (32)</w:t>
      </w:r>
      <w:r w:rsidR="002F76F2" w:rsidRPr="003F68FE">
        <w:t xml:space="preserve"> </w:t>
      </w:r>
      <w:r w:rsidRPr="003F68FE">
        <w:t>tj. od student servisa</w:t>
      </w:r>
      <w:r w:rsidR="00406509" w:rsidRPr="003F68FE">
        <w:t xml:space="preserve"> stabilno rastu </w:t>
      </w:r>
      <w:r w:rsidRPr="003F68FE">
        <w:t xml:space="preserve">godinama po stopi koja varira od 4% do 7%. Budući da </w:t>
      </w:r>
      <w:r w:rsidR="00D40C72" w:rsidRPr="003F68FE">
        <w:t>u 2018.g. očekujemo</w:t>
      </w:r>
      <w:r w:rsidRPr="003F68FE">
        <w:t xml:space="preserve"> promjen</w:t>
      </w:r>
      <w:r w:rsidR="00D40C72" w:rsidRPr="003F68FE">
        <w:t>e</w:t>
      </w:r>
      <w:r w:rsidRPr="003F68FE">
        <w:t xml:space="preserve"> zakonske regulative, </w:t>
      </w:r>
      <w:r w:rsidR="00D40C72" w:rsidRPr="003F68FE">
        <w:t xml:space="preserve">koja obično u prvim mjesecima primjene ima negativan efekt na prihode, </w:t>
      </w:r>
      <w:r w:rsidR="0020258C" w:rsidRPr="003F68FE">
        <w:t>na temelju ovogodišn</w:t>
      </w:r>
      <w:r w:rsidR="00D40C72" w:rsidRPr="003F68FE">
        <w:t xml:space="preserve">jih očekivanih prihoda </w:t>
      </w:r>
      <w:r w:rsidRPr="003F68FE">
        <w:t xml:space="preserve">planiramo rast od </w:t>
      </w:r>
      <w:r w:rsidR="00D40C72" w:rsidRPr="003F68FE">
        <w:t>2,9</w:t>
      </w:r>
      <w:r w:rsidRPr="003F68FE">
        <w:t>%</w:t>
      </w:r>
      <w:r w:rsidR="0020258C" w:rsidRPr="003F68FE">
        <w:t xml:space="preserve"> u odnosu na 2016.g.</w:t>
      </w:r>
    </w:p>
    <w:p w:rsidR="00CB6F9D" w:rsidRPr="0045592F" w:rsidRDefault="008E2BB1" w:rsidP="00C066B5">
      <w:pPr>
        <w:numPr>
          <w:ilvl w:val="0"/>
          <w:numId w:val="18"/>
        </w:numPr>
        <w:spacing w:after="0" w:line="240" w:lineRule="auto"/>
        <w:rPr>
          <w:rFonts w:cs="Arial"/>
        </w:rPr>
      </w:pPr>
      <w:r w:rsidRPr="00A757DC">
        <w:rPr>
          <w:rFonts w:cs="Arial"/>
        </w:rPr>
        <w:t xml:space="preserve"> </w:t>
      </w:r>
      <w:r w:rsidRPr="0045592F">
        <w:rPr>
          <w:rFonts w:cs="Arial"/>
        </w:rPr>
        <w:t xml:space="preserve">Prihodi po posebnim propisima </w:t>
      </w:r>
      <w:r w:rsidR="00DB5004" w:rsidRPr="0045592F">
        <w:rPr>
          <w:rFonts w:cs="Arial"/>
        </w:rPr>
        <w:t xml:space="preserve">(33) </w:t>
      </w:r>
      <w:r w:rsidRPr="0045592F">
        <w:rPr>
          <w:rFonts w:cs="Arial"/>
        </w:rPr>
        <w:t xml:space="preserve">realiziraju se u Smještaju, Prehrani i Kulturi. </w:t>
      </w:r>
      <w:r w:rsidR="005F213E" w:rsidRPr="0045592F">
        <w:rPr>
          <w:rFonts w:cs="Arial"/>
        </w:rPr>
        <w:t>Maximalno mogući prihodi po ovoj osnovi determinirani su Proračunom RH za 201</w:t>
      </w:r>
      <w:r w:rsidR="003F68FE" w:rsidRPr="0045592F">
        <w:rPr>
          <w:rFonts w:cs="Arial"/>
        </w:rPr>
        <w:t>8</w:t>
      </w:r>
      <w:r w:rsidR="005F213E" w:rsidRPr="0045592F">
        <w:rPr>
          <w:rFonts w:cs="Arial"/>
        </w:rPr>
        <w:t>.</w:t>
      </w:r>
      <w:r w:rsidRPr="0045592F">
        <w:rPr>
          <w:rFonts w:cs="Arial"/>
        </w:rPr>
        <w:t xml:space="preserve"> </w:t>
      </w:r>
      <w:r w:rsidR="00C80DFA" w:rsidRPr="0045592F">
        <w:rPr>
          <w:rFonts w:cs="Arial"/>
        </w:rPr>
        <w:t>te sredstvima koje Kultura planira prihodovati putem aplikacija na natječaje.</w:t>
      </w:r>
      <w:r w:rsidR="009C73D1" w:rsidRPr="0045592F">
        <w:rPr>
          <w:rFonts w:cs="Arial"/>
        </w:rPr>
        <w:t xml:space="preserve"> </w:t>
      </w:r>
    </w:p>
    <w:p w:rsidR="00DB5004" w:rsidRPr="003F68FE" w:rsidRDefault="00DB5004" w:rsidP="00C066B5">
      <w:pPr>
        <w:numPr>
          <w:ilvl w:val="0"/>
          <w:numId w:val="18"/>
        </w:numPr>
        <w:spacing w:after="0" w:line="240" w:lineRule="auto"/>
        <w:rPr>
          <w:rFonts w:cs="Arial"/>
        </w:rPr>
      </w:pPr>
      <w:r w:rsidRPr="003F68FE">
        <w:rPr>
          <w:rFonts w:cs="Arial"/>
        </w:rPr>
        <w:t xml:space="preserve">Prihodi od imovine (34) </w:t>
      </w:r>
      <w:r w:rsidR="00126F7F" w:rsidRPr="003F68FE">
        <w:rPr>
          <w:rFonts w:cs="Arial"/>
        </w:rPr>
        <w:t>sastoje se od Prihoda od financijske imovine (341) i Prihoda od nefinancijske imovine (342</w:t>
      </w:r>
      <w:r w:rsidR="003F68FE" w:rsidRPr="003F68FE">
        <w:rPr>
          <w:rFonts w:cs="Arial"/>
        </w:rPr>
        <w:t xml:space="preserve">) Prihodi od imovine </w:t>
      </w:r>
      <w:r w:rsidR="00126F7F" w:rsidRPr="003F68FE">
        <w:rPr>
          <w:rFonts w:cs="Arial"/>
        </w:rPr>
        <w:t xml:space="preserve"> planirani </w:t>
      </w:r>
      <w:r w:rsidR="003F68FE" w:rsidRPr="003F68FE">
        <w:rPr>
          <w:rFonts w:cs="Arial"/>
        </w:rPr>
        <w:t>su na razini 2016</w:t>
      </w:r>
      <w:r w:rsidR="00126F7F" w:rsidRPr="003F68FE">
        <w:rPr>
          <w:rFonts w:cs="Arial"/>
        </w:rPr>
        <w:t>.</w:t>
      </w:r>
      <w:r w:rsidR="003F68FE" w:rsidRPr="003F68FE">
        <w:rPr>
          <w:rFonts w:cs="Arial"/>
        </w:rPr>
        <w:t>odnosno na razini očekivanih veličina u 2017.</w:t>
      </w:r>
    </w:p>
    <w:p w:rsidR="00DB5004" w:rsidRPr="0045592F" w:rsidRDefault="00DB5004" w:rsidP="00C066B5">
      <w:pPr>
        <w:numPr>
          <w:ilvl w:val="0"/>
          <w:numId w:val="18"/>
        </w:numPr>
        <w:spacing w:after="0" w:line="240" w:lineRule="auto"/>
        <w:rPr>
          <w:rFonts w:cs="Arial"/>
        </w:rPr>
      </w:pPr>
      <w:r w:rsidRPr="0045592F">
        <w:rPr>
          <w:rFonts w:cs="Arial"/>
        </w:rPr>
        <w:t xml:space="preserve">Prihodi od donacija (35) sastoje se od </w:t>
      </w:r>
      <w:r w:rsidR="00693F10" w:rsidRPr="0045592F">
        <w:rPr>
          <w:rFonts w:cs="Arial"/>
        </w:rPr>
        <w:t xml:space="preserve">donacija trgovačkih društava (352) </w:t>
      </w:r>
      <w:r w:rsidRPr="0045592F">
        <w:rPr>
          <w:rFonts w:cs="Arial"/>
        </w:rPr>
        <w:t xml:space="preserve">te </w:t>
      </w:r>
      <w:r w:rsidR="00693F10" w:rsidRPr="0045592F">
        <w:rPr>
          <w:rFonts w:cs="Arial"/>
        </w:rPr>
        <w:t xml:space="preserve">ostalih donacija tj. procjene </w:t>
      </w:r>
      <w:r w:rsidR="0007773E" w:rsidRPr="0045592F">
        <w:rPr>
          <w:rFonts w:cs="Arial"/>
        </w:rPr>
        <w:t>dijela donacija za imovinu koje možemo priznati u prihode 201</w:t>
      </w:r>
      <w:r w:rsidR="00C81B79" w:rsidRPr="0045592F">
        <w:rPr>
          <w:rFonts w:cs="Arial"/>
        </w:rPr>
        <w:t>7</w:t>
      </w:r>
      <w:r w:rsidR="0007773E" w:rsidRPr="0045592F">
        <w:rPr>
          <w:rFonts w:cs="Arial"/>
        </w:rPr>
        <w:t>.</w:t>
      </w:r>
      <w:r w:rsidR="00693F10" w:rsidRPr="0045592F">
        <w:rPr>
          <w:rFonts w:cs="Arial"/>
        </w:rPr>
        <w:t>(353).</w:t>
      </w:r>
      <w:r w:rsidR="003F68FE" w:rsidRPr="0045592F">
        <w:rPr>
          <w:rFonts w:cs="Arial"/>
        </w:rPr>
        <w:t xml:space="preserve"> S obzirom da u 2018. u proračunu RH nisu planirana dodatna sanacijska sredstva, ukupni planirani prihodi od donacija </w:t>
      </w:r>
      <w:r w:rsidR="006F5CDB" w:rsidRPr="0045592F">
        <w:rPr>
          <w:rFonts w:cs="Arial"/>
        </w:rPr>
        <w:t>bit će više no dvostruko manji od očekivanih veličina u 2017. (ukoliko povučemo ostatak sanacijskih sredstva iz proračuna 2017). Istodobno</w:t>
      </w:r>
      <w:r w:rsidR="00012B32" w:rsidRPr="0045592F">
        <w:rPr>
          <w:rFonts w:cs="Arial"/>
        </w:rPr>
        <w:t>,</w:t>
      </w:r>
      <w:r w:rsidR="006F5CDB" w:rsidRPr="0045592F">
        <w:rPr>
          <w:rFonts w:cs="Arial"/>
        </w:rPr>
        <w:t xml:space="preserve"> ostale donacije, ostaju na razini ovogodišnjih ostvarenih veličina.</w:t>
      </w:r>
    </w:p>
    <w:p w:rsidR="0007773E" w:rsidRPr="006F5CDB" w:rsidRDefault="0007773E" w:rsidP="00C066B5">
      <w:pPr>
        <w:numPr>
          <w:ilvl w:val="0"/>
          <w:numId w:val="18"/>
        </w:numPr>
        <w:spacing w:after="0" w:line="240" w:lineRule="auto"/>
        <w:rPr>
          <w:rFonts w:cs="Arial"/>
        </w:rPr>
      </w:pPr>
      <w:r w:rsidRPr="0045592F">
        <w:rPr>
          <w:rFonts w:cs="Arial"/>
        </w:rPr>
        <w:t xml:space="preserve">Ostali prihodi (36) planiraju </w:t>
      </w:r>
      <w:r w:rsidRPr="006F5CDB">
        <w:rPr>
          <w:rFonts w:cs="Arial"/>
        </w:rPr>
        <w:t xml:space="preserve">se </w:t>
      </w:r>
      <w:r w:rsidR="00A07BB0" w:rsidRPr="006F5CDB">
        <w:rPr>
          <w:rFonts w:cs="Arial"/>
        </w:rPr>
        <w:t>na r</w:t>
      </w:r>
      <w:r w:rsidR="006F5CDB" w:rsidRPr="006F5CDB">
        <w:rPr>
          <w:rFonts w:cs="Arial"/>
        </w:rPr>
        <w:t>azini očekivanih prihoda  u 2017</w:t>
      </w:r>
      <w:r w:rsidR="00A07BB0" w:rsidRPr="006F5CDB">
        <w:rPr>
          <w:rFonts w:cs="Arial"/>
        </w:rPr>
        <w:t>.g.</w:t>
      </w:r>
    </w:p>
    <w:p w:rsidR="0007773E" w:rsidRPr="00A757DC" w:rsidRDefault="0007773E" w:rsidP="00C066B5">
      <w:pPr>
        <w:numPr>
          <w:ilvl w:val="0"/>
          <w:numId w:val="18"/>
        </w:numPr>
        <w:spacing w:after="0" w:line="240" w:lineRule="auto"/>
        <w:rPr>
          <w:rFonts w:cs="Arial"/>
        </w:rPr>
      </w:pPr>
      <w:r w:rsidRPr="00A757DC">
        <w:rPr>
          <w:rFonts w:cs="Arial"/>
        </w:rPr>
        <w:t>Studentski centar nije povezan s drugim neprofitnim organizacijama.</w:t>
      </w:r>
    </w:p>
    <w:p w:rsidR="007B2CF5" w:rsidRDefault="007B2CF5" w:rsidP="00475BBE">
      <w:pPr>
        <w:spacing w:after="0" w:line="240" w:lineRule="auto"/>
        <w:rPr>
          <w:rFonts w:cs="Arial"/>
          <w:highlight w:val="yellow"/>
        </w:rPr>
      </w:pPr>
    </w:p>
    <w:p w:rsidR="00AC68E1" w:rsidRDefault="00AC68E1" w:rsidP="00475BBE">
      <w:pPr>
        <w:spacing w:after="0" w:line="240" w:lineRule="auto"/>
        <w:rPr>
          <w:rFonts w:cs="Arial"/>
          <w:highlight w:val="yellow"/>
        </w:rPr>
      </w:pPr>
    </w:p>
    <w:p w:rsidR="00AC68E1" w:rsidRPr="003B03C4" w:rsidRDefault="00AC68E1" w:rsidP="00475BBE">
      <w:pPr>
        <w:spacing w:after="0" w:line="240" w:lineRule="auto"/>
        <w:rPr>
          <w:rFonts w:cs="Arial"/>
          <w:highlight w:val="yellow"/>
        </w:rPr>
      </w:pPr>
    </w:p>
    <w:p w:rsidR="007B2CF5" w:rsidRPr="003B03C4" w:rsidRDefault="007B2CF5" w:rsidP="00475BBE">
      <w:pPr>
        <w:spacing w:after="0" w:line="240" w:lineRule="auto"/>
        <w:rPr>
          <w:highlight w:val="yellow"/>
        </w:rPr>
      </w:pPr>
    </w:p>
    <w:p w:rsidR="007B2CF5" w:rsidRPr="006F0E86" w:rsidRDefault="00735C7E" w:rsidP="007B2CF5">
      <w:pPr>
        <w:spacing w:after="0" w:line="240" w:lineRule="auto"/>
        <w:rPr>
          <w:b/>
        </w:rPr>
      </w:pPr>
      <w:r>
        <w:rPr>
          <w:b/>
        </w:rPr>
        <w:t>3</w:t>
      </w:r>
      <w:r w:rsidR="007B2CF5" w:rsidRPr="006F0E86">
        <w:rPr>
          <w:b/>
        </w:rPr>
        <w:t>.3.</w:t>
      </w:r>
      <w:r w:rsidR="00A92C3A" w:rsidRPr="006F0E86">
        <w:rPr>
          <w:b/>
        </w:rPr>
        <w:t>2</w:t>
      </w:r>
      <w:r w:rsidR="007B2CF5" w:rsidRPr="006F0E86">
        <w:rPr>
          <w:b/>
        </w:rPr>
        <w:t>.Rashodi</w:t>
      </w:r>
    </w:p>
    <w:p w:rsidR="007B2CF5" w:rsidRPr="006F0E86" w:rsidRDefault="007B2CF5" w:rsidP="007B2CF5">
      <w:pPr>
        <w:spacing w:after="0" w:line="240" w:lineRule="auto"/>
        <w:rPr>
          <w:b/>
        </w:rPr>
      </w:pPr>
    </w:p>
    <w:p w:rsidR="007B2CF5" w:rsidRPr="0045592F" w:rsidRDefault="00595ADD" w:rsidP="00C066B5">
      <w:pPr>
        <w:numPr>
          <w:ilvl w:val="0"/>
          <w:numId w:val="19"/>
        </w:numPr>
        <w:spacing w:after="0" w:line="240" w:lineRule="auto"/>
      </w:pPr>
      <w:r w:rsidRPr="0045592F">
        <w:t>Unatoč planiranom smanjenju broja zaposlenih, r</w:t>
      </w:r>
      <w:r w:rsidR="007B2CF5" w:rsidRPr="0045592F">
        <w:t>ashodi za zaposlene (41) na temelju ovogodišnjih i prošlogodišnjih brojki planira</w:t>
      </w:r>
      <w:r w:rsidRPr="0045592F">
        <w:t>ju</w:t>
      </w:r>
      <w:r w:rsidR="007B2CF5" w:rsidRPr="0045592F">
        <w:t xml:space="preserve"> se </w:t>
      </w:r>
      <w:r w:rsidRPr="0045592F">
        <w:t xml:space="preserve">za </w:t>
      </w:r>
      <w:r w:rsidR="00B21EDD" w:rsidRPr="0045592F">
        <w:t>4</w:t>
      </w:r>
      <w:r w:rsidR="007B2CF5" w:rsidRPr="0045592F">
        <w:t xml:space="preserve">% veći od ovogodišnje projekcije u što je ukalkuliran 0,5% dodatak na staž te </w:t>
      </w:r>
      <w:r w:rsidR="00A807F0" w:rsidRPr="0045592F">
        <w:t>određeni iznos</w:t>
      </w:r>
      <w:r w:rsidRPr="0045592F">
        <w:t xml:space="preserve"> za </w:t>
      </w:r>
      <w:r w:rsidR="00E86981" w:rsidRPr="0045592F">
        <w:t>nove obveze prema zaposlenima sukladno Kolektivnom ugovoru.</w:t>
      </w:r>
    </w:p>
    <w:p w:rsidR="00213A8A" w:rsidRPr="0045592F" w:rsidRDefault="00A807F0" w:rsidP="00C066B5">
      <w:pPr>
        <w:numPr>
          <w:ilvl w:val="0"/>
          <w:numId w:val="19"/>
        </w:numPr>
        <w:spacing w:after="0" w:line="240" w:lineRule="auto"/>
      </w:pPr>
      <w:r w:rsidRPr="0045592F">
        <w:t xml:space="preserve"> Materijalni rashodi (42) planiraju se u iznosu od </w:t>
      </w:r>
      <w:r w:rsidR="00E81155" w:rsidRPr="0045592F">
        <w:t>13</w:t>
      </w:r>
      <w:r w:rsidRPr="0045592F">
        <w:t xml:space="preserve">% </w:t>
      </w:r>
      <w:r w:rsidR="00E81155" w:rsidRPr="0045592F">
        <w:t>manjem</w:t>
      </w:r>
      <w:r w:rsidR="00D04792" w:rsidRPr="0045592F">
        <w:t xml:space="preserve"> nego </w:t>
      </w:r>
      <w:r w:rsidRPr="0045592F">
        <w:t>u baznoj 201</w:t>
      </w:r>
      <w:r w:rsidR="00E81155" w:rsidRPr="0045592F">
        <w:t>6, a</w:t>
      </w:r>
      <w:r w:rsidR="00D04792" w:rsidRPr="0045592F">
        <w:t xml:space="preserve">li istodobno </w:t>
      </w:r>
      <w:r w:rsidR="00E81155" w:rsidRPr="0045592F">
        <w:t>na razini</w:t>
      </w:r>
      <w:r w:rsidR="00D04792" w:rsidRPr="0045592F">
        <w:t xml:space="preserve"> očekivan</w:t>
      </w:r>
      <w:r w:rsidR="00E81155" w:rsidRPr="0045592F">
        <w:t>og</w:t>
      </w:r>
      <w:r w:rsidR="00D04792" w:rsidRPr="0045592F">
        <w:t xml:space="preserve"> iznos</w:t>
      </w:r>
      <w:r w:rsidR="00E81155" w:rsidRPr="0045592F">
        <w:t>a</w:t>
      </w:r>
      <w:r w:rsidR="00D04792" w:rsidRPr="0045592F">
        <w:t xml:space="preserve"> u 201</w:t>
      </w:r>
      <w:r w:rsidR="00E81155" w:rsidRPr="0045592F">
        <w:t>7</w:t>
      </w:r>
      <w:r w:rsidR="00D04792" w:rsidRPr="0045592F">
        <w:t>.</w:t>
      </w:r>
      <w:r w:rsidR="00213A8A" w:rsidRPr="0045592F">
        <w:t xml:space="preserve"> Pri tome Smještaj</w:t>
      </w:r>
      <w:r w:rsidR="00C50CE9" w:rsidRPr="0045592F">
        <w:t xml:space="preserve"> planira zadržavanje materijalnih rashoda na ovogodišnjoj razini uz iznimku rashoda za investicijsko održavanje za koje se  planira povećanje zbog odustajanja od II. faze projekta rekonstrukcije SN S.Radić.</w:t>
      </w:r>
      <w:r w:rsidR="00213A8A" w:rsidRPr="0045592F">
        <w:t xml:space="preserve"> </w:t>
      </w:r>
      <w:r w:rsidRPr="0045592F">
        <w:t>Financij</w:t>
      </w:r>
      <w:r w:rsidR="00C50CE9" w:rsidRPr="0045592F">
        <w:t>ski poslovi i Kultura planiraju smanjenje materijalnih rashoda u odnosu na baznu 2016.g., dok</w:t>
      </w:r>
      <w:r w:rsidR="00213A8A" w:rsidRPr="0045592F">
        <w:t xml:space="preserve"> </w:t>
      </w:r>
      <w:r w:rsidR="00C50CE9" w:rsidRPr="0045592F">
        <w:t xml:space="preserve">Zajednički poslovi </w:t>
      </w:r>
      <w:r w:rsidRPr="0045592F">
        <w:t xml:space="preserve">planiraju </w:t>
      </w:r>
      <w:r w:rsidR="00213A8A" w:rsidRPr="0045592F">
        <w:t>zadržavanje materijalnih rashoda na razini 201</w:t>
      </w:r>
      <w:r w:rsidR="00C50CE9" w:rsidRPr="0045592F">
        <w:t>6</w:t>
      </w:r>
      <w:r w:rsidR="00213A8A" w:rsidRPr="0045592F">
        <w:t xml:space="preserve">., Istodobno, Prehrana  planira </w:t>
      </w:r>
      <w:r w:rsidR="00C50CE9" w:rsidRPr="0045592F">
        <w:t>smanjenje</w:t>
      </w:r>
      <w:r w:rsidR="00213A8A" w:rsidRPr="0045592F">
        <w:t xml:space="preserve"> materijalnih  rashoda od 4</w:t>
      </w:r>
      <w:r w:rsidR="00C50CE9" w:rsidRPr="0045592F">
        <w:t>,5</w:t>
      </w:r>
      <w:r w:rsidR="00213A8A" w:rsidRPr="0045592F">
        <w:t>% u odnosu na 201</w:t>
      </w:r>
      <w:r w:rsidR="00C50CE9" w:rsidRPr="0045592F">
        <w:t xml:space="preserve">6.g. </w:t>
      </w:r>
      <w:r w:rsidR="00B80328" w:rsidRPr="0045592F">
        <w:t>ne.</w:t>
      </w:r>
    </w:p>
    <w:p w:rsidR="009E4000" w:rsidRPr="0045592F" w:rsidRDefault="009E4000" w:rsidP="00C066B5">
      <w:pPr>
        <w:numPr>
          <w:ilvl w:val="0"/>
          <w:numId w:val="19"/>
        </w:numPr>
        <w:spacing w:after="0" w:line="240" w:lineRule="auto"/>
      </w:pPr>
      <w:r w:rsidRPr="0045592F">
        <w:t xml:space="preserve">Amortizacija (43) je </w:t>
      </w:r>
      <w:r w:rsidR="000D68B2" w:rsidRPr="0045592F">
        <w:t xml:space="preserve">višestruko </w:t>
      </w:r>
      <w:r w:rsidRPr="0045592F">
        <w:t xml:space="preserve">uvećana </w:t>
      </w:r>
      <w:r w:rsidR="000D68B2" w:rsidRPr="0045592F">
        <w:t xml:space="preserve"> u usporedbi sa 2016.g.zbog povećanog iznosa </w:t>
      </w:r>
      <w:r w:rsidRPr="0045592F">
        <w:t xml:space="preserve"> </w:t>
      </w:r>
      <w:r w:rsidR="000D68B2" w:rsidRPr="0045592F">
        <w:t>amortizacije obnovljenih domova, ali se istodobno očekuje na razini ovogodišnjih brojki.</w:t>
      </w:r>
    </w:p>
    <w:p w:rsidR="0087741F" w:rsidRPr="0045592F" w:rsidRDefault="00721DCB" w:rsidP="00C066B5">
      <w:pPr>
        <w:numPr>
          <w:ilvl w:val="0"/>
          <w:numId w:val="19"/>
        </w:numPr>
        <w:spacing w:after="0" w:line="240" w:lineRule="auto"/>
      </w:pPr>
      <w:r w:rsidRPr="0045592F">
        <w:t>Financij</w:t>
      </w:r>
      <w:r w:rsidR="0087741F" w:rsidRPr="0045592F">
        <w:t xml:space="preserve">ski rashodi (44) planiraju se  </w:t>
      </w:r>
      <w:r w:rsidR="00A757DC" w:rsidRPr="0045592F">
        <w:t>u iznosu</w:t>
      </w:r>
      <w:r w:rsidR="0087741F" w:rsidRPr="0045592F">
        <w:t xml:space="preserve"> </w:t>
      </w:r>
      <w:r w:rsidR="006F0E86" w:rsidRPr="0045592F">
        <w:t>37</w:t>
      </w:r>
      <w:r w:rsidR="0087741F" w:rsidRPr="0045592F">
        <w:t xml:space="preserve">% </w:t>
      </w:r>
      <w:r w:rsidRPr="0045592F">
        <w:t xml:space="preserve"> </w:t>
      </w:r>
      <w:r w:rsidR="0087741F" w:rsidRPr="0045592F">
        <w:t>niž</w:t>
      </w:r>
      <w:r w:rsidR="00A757DC" w:rsidRPr="0045592F">
        <w:t>em</w:t>
      </w:r>
      <w:r w:rsidRPr="0045592F">
        <w:t xml:space="preserve"> </w:t>
      </w:r>
      <w:r w:rsidR="0087741F" w:rsidRPr="0045592F">
        <w:t xml:space="preserve">od </w:t>
      </w:r>
      <w:r w:rsidR="00A757DC" w:rsidRPr="0045592F">
        <w:t>ostvarenog u</w:t>
      </w:r>
      <w:r w:rsidR="0087741F" w:rsidRPr="0045592F">
        <w:t xml:space="preserve"> 2016. usl</w:t>
      </w:r>
      <w:r w:rsidR="006F0E86" w:rsidRPr="0045592F">
        <w:t>i</w:t>
      </w:r>
      <w:r w:rsidR="0087741F" w:rsidRPr="0045592F">
        <w:t>jed  skraćenja rokova plaćanja u 201</w:t>
      </w:r>
      <w:r w:rsidR="006F0E86" w:rsidRPr="0045592F">
        <w:t>7</w:t>
      </w:r>
      <w:r w:rsidR="0087741F" w:rsidRPr="0045592F">
        <w:t>. slijedom čega očekujemo manja izdvajanja za zatezne kamate.</w:t>
      </w:r>
    </w:p>
    <w:p w:rsidR="009E4000" w:rsidRPr="00A757DC" w:rsidRDefault="009E4000" w:rsidP="00C066B5">
      <w:pPr>
        <w:numPr>
          <w:ilvl w:val="0"/>
          <w:numId w:val="19"/>
        </w:numPr>
        <w:spacing w:after="0" w:line="240" w:lineRule="auto"/>
      </w:pPr>
      <w:r w:rsidRPr="00A757DC">
        <w:t xml:space="preserve">Donacije (45) </w:t>
      </w:r>
      <w:r w:rsidR="0087741F" w:rsidRPr="00A757DC">
        <w:t xml:space="preserve">su </w:t>
      </w:r>
      <w:r w:rsidR="006F0E86" w:rsidRPr="00A757DC">
        <w:t>planirane u simboličnom iznosu.</w:t>
      </w:r>
    </w:p>
    <w:p w:rsidR="009E4000" w:rsidRPr="004F273D" w:rsidRDefault="009E4000" w:rsidP="00C066B5">
      <w:pPr>
        <w:numPr>
          <w:ilvl w:val="0"/>
          <w:numId w:val="19"/>
        </w:numPr>
        <w:spacing w:after="0" w:line="240" w:lineRule="auto"/>
      </w:pPr>
      <w:r w:rsidRPr="004F273D">
        <w:t xml:space="preserve">Ostali rashodi </w:t>
      </w:r>
      <w:r w:rsidR="0087741F" w:rsidRPr="004F273D">
        <w:t xml:space="preserve">(46) </w:t>
      </w:r>
      <w:r w:rsidRPr="004F273D">
        <w:t>planiraju se</w:t>
      </w:r>
      <w:r w:rsidR="0087741F" w:rsidRPr="004F273D">
        <w:t xml:space="preserve"> na </w:t>
      </w:r>
      <w:r w:rsidR="00A757DC" w:rsidRPr="004F273D">
        <w:t>značajno nižoj razini od one u</w:t>
      </w:r>
      <w:r w:rsidR="0087741F" w:rsidRPr="004F273D">
        <w:t xml:space="preserve">  2016.</w:t>
      </w:r>
      <w:r w:rsidR="00A757DC" w:rsidRPr="004F273D">
        <w:t>, s tim da se se izdaci za kazne, penale i</w:t>
      </w:r>
      <w:r w:rsidR="004F273D" w:rsidRPr="004F273D">
        <w:t xml:space="preserve"> </w:t>
      </w:r>
      <w:r w:rsidR="00A757DC" w:rsidRPr="004F273D">
        <w:t>sl.</w:t>
      </w:r>
      <w:r w:rsidR="004F273D" w:rsidRPr="004F273D">
        <w:t xml:space="preserve"> </w:t>
      </w:r>
      <w:r w:rsidR="00A757DC" w:rsidRPr="004F273D">
        <w:t>planiraju na istoj razini, dok nemamo naznaka da bi nas u 2018.g. mogli teretiti neki značajniji iznosi rashoda ve</w:t>
      </w:r>
      <w:r w:rsidR="004F273D" w:rsidRPr="004F273D">
        <w:t>zanih za prethodna razdoblja.</w:t>
      </w:r>
      <w:r w:rsidR="00A757DC" w:rsidRPr="004F273D">
        <w:t xml:space="preserve"> </w:t>
      </w:r>
    </w:p>
    <w:p w:rsidR="009E4000" w:rsidRPr="004F273D" w:rsidRDefault="009E4000" w:rsidP="00C066B5">
      <w:pPr>
        <w:numPr>
          <w:ilvl w:val="0"/>
          <w:numId w:val="19"/>
        </w:numPr>
        <w:spacing w:after="0" w:line="240" w:lineRule="auto"/>
      </w:pPr>
      <w:r w:rsidRPr="004F273D">
        <w:rPr>
          <w:rFonts w:cs="Arial"/>
        </w:rPr>
        <w:t>Studentski centar nije povezan s drugim neprofitnim organizacijama.</w:t>
      </w:r>
    </w:p>
    <w:p w:rsidR="00810A66" w:rsidRDefault="00810A66" w:rsidP="00A92C3A">
      <w:pPr>
        <w:spacing w:after="0" w:line="240" w:lineRule="auto"/>
        <w:rPr>
          <w:b/>
          <w:bCs/>
        </w:rPr>
      </w:pPr>
    </w:p>
    <w:p w:rsidR="00A92C3A" w:rsidRDefault="00A92C3A" w:rsidP="00A92C3A">
      <w:pPr>
        <w:spacing w:after="0" w:line="240" w:lineRule="auto"/>
        <w:rPr>
          <w:b/>
          <w:bCs/>
        </w:rPr>
      </w:pPr>
    </w:p>
    <w:p w:rsidR="00A92C3A" w:rsidRDefault="00C74049" w:rsidP="00A92C3A">
      <w:pPr>
        <w:spacing w:after="0" w:line="240" w:lineRule="auto"/>
        <w:rPr>
          <w:b/>
        </w:rPr>
      </w:pPr>
      <w:r>
        <w:rPr>
          <w:b/>
          <w:bCs/>
        </w:rPr>
        <w:t>3</w:t>
      </w:r>
      <w:r w:rsidR="00A92C3A" w:rsidRPr="00674F29">
        <w:rPr>
          <w:b/>
          <w:bCs/>
        </w:rPr>
        <w:t>.</w:t>
      </w:r>
      <w:r w:rsidR="00A92C3A">
        <w:rPr>
          <w:b/>
          <w:bCs/>
        </w:rPr>
        <w:t>4</w:t>
      </w:r>
      <w:r w:rsidR="00A92C3A" w:rsidRPr="00674F29">
        <w:rPr>
          <w:b/>
          <w:bCs/>
        </w:rPr>
        <w:t xml:space="preserve">. </w:t>
      </w:r>
      <w:r w:rsidR="00A92C3A">
        <w:rPr>
          <w:b/>
          <w:bCs/>
        </w:rPr>
        <w:t>PLAN ZADUŽIVANJA I OTPLATA</w:t>
      </w:r>
    </w:p>
    <w:p w:rsidR="003A5E2E" w:rsidRDefault="003A5E2E" w:rsidP="003A5E2E">
      <w:pPr>
        <w:spacing w:after="0" w:line="240" w:lineRule="auto"/>
        <w:rPr>
          <w:b/>
        </w:rPr>
      </w:pPr>
    </w:p>
    <w:p w:rsidR="003A5E2E" w:rsidRPr="003A5E2E" w:rsidRDefault="003A5E2E" w:rsidP="003A5E2E">
      <w:pPr>
        <w:spacing w:after="0" w:line="240" w:lineRule="auto"/>
      </w:pPr>
      <w:r w:rsidRPr="003A5E2E">
        <w:t>U 201</w:t>
      </w:r>
      <w:r w:rsidR="003B03C4">
        <w:t>8</w:t>
      </w:r>
      <w:r w:rsidRPr="003A5E2E">
        <w:t xml:space="preserve">. naši planovi ne predviđaju </w:t>
      </w:r>
      <w:r>
        <w:t xml:space="preserve">dugoročno zaduživanje niti investiranje ili dezinvestiranje u financijsku imovinu. Također nemamo obveza za dugoročne kredite niti dugoročnih potraživanja za date kredite izuzev potraživanja od radnika za otkupljene stanove  </w:t>
      </w:r>
      <w:r w:rsidR="005C442C">
        <w:t xml:space="preserve">koje zbog </w:t>
      </w:r>
      <w:r>
        <w:t xml:space="preserve"> svoj</w:t>
      </w:r>
      <w:r w:rsidR="005C442C">
        <w:t>e</w:t>
      </w:r>
      <w:r>
        <w:t xml:space="preserve"> naravi </w:t>
      </w:r>
      <w:r w:rsidR="005C442C">
        <w:t>(primici od prodaje imovine) nismo uključili u ovaj plan.</w:t>
      </w:r>
    </w:p>
    <w:p w:rsidR="003A5E2E" w:rsidRDefault="003A5E2E" w:rsidP="003A5E2E">
      <w:pPr>
        <w:spacing w:after="0" w:line="240" w:lineRule="auto"/>
        <w:ind w:left="720"/>
        <w:rPr>
          <w:b/>
        </w:rPr>
      </w:pPr>
    </w:p>
    <w:p w:rsidR="00475BBE" w:rsidRDefault="00475BBE" w:rsidP="00475BBE">
      <w:pPr>
        <w:spacing w:after="0" w:line="240" w:lineRule="auto"/>
        <w:rPr>
          <w:b/>
        </w:rPr>
      </w:pPr>
    </w:p>
    <w:tbl>
      <w:tblPr>
        <w:tblW w:w="7608" w:type="dxa"/>
        <w:tblInd w:w="108" w:type="dxa"/>
        <w:tblLook w:val="04A0" w:firstRow="1" w:lastRow="0" w:firstColumn="1" w:lastColumn="0" w:noHBand="0" w:noVBand="1"/>
      </w:tblPr>
      <w:tblGrid>
        <w:gridCol w:w="596"/>
        <w:gridCol w:w="450"/>
        <w:gridCol w:w="5763"/>
        <w:gridCol w:w="1106"/>
      </w:tblGrid>
      <w:tr w:rsidR="003A5E2E" w:rsidRPr="002B25A9" w:rsidTr="003A5E2E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5C44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PRIMICI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a.)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primljeni krediti i zajmovi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b.)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prodaja vrijednosnih papira, dionica i udjela u glavnici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c.)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povrat glavnice danih zajmova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2E" w:rsidRPr="002B25A9" w:rsidTr="003A5E2E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5C44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IZDACI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a.)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dani dugoročni zajmovi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ulaganja u vrijednosne papire, dionice i udjele u glavnici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otplata glavnice primljenih dugoročnih kredita i zajmova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5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5E2E" w:rsidRPr="002B25A9" w:rsidTr="0065182C">
        <w:trPr>
          <w:trHeight w:val="15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E2E" w:rsidRPr="002B25A9" w:rsidTr="003A5E2E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45592F" w:rsidRDefault="003A5E2E" w:rsidP="003A5E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92F">
              <w:rPr>
                <w:rFonts w:ascii="Arial" w:hAnsi="Arial" w:cs="Arial"/>
                <w:b/>
                <w:bCs/>
                <w:sz w:val="20"/>
                <w:szCs w:val="20"/>
              </w:rPr>
              <w:t>KRATKOROČNO ZADUŽIVANJE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5A9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3A5E2E" w:rsidRPr="0065182C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45592F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a.)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45592F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max. Iznos kratkoročnog jednokratnog zaduživanja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65182C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3A5E2E" w:rsidRPr="002B25A9" w:rsidTr="003A5E2E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65182C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45592F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b.)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45592F" w:rsidRDefault="003A5E2E" w:rsidP="003A5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max. Iznos kratkoročnog jednokratnog davanja zajmova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2E" w:rsidRPr="002B25A9" w:rsidRDefault="003A5E2E" w:rsidP="003A5E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9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10A66" w:rsidRDefault="00810A66" w:rsidP="00674F29">
      <w:pPr>
        <w:spacing w:after="0" w:line="240" w:lineRule="auto"/>
      </w:pPr>
    </w:p>
    <w:p w:rsidR="00810A66" w:rsidRDefault="00810A66" w:rsidP="00674F29">
      <w:pPr>
        <w:spacing w:after="0" w:line="240" w:lineRule="auto"/>
      </w:pPr>
    </w:p>
    <w:p w:rsidR="00810A66" w:rsidRPr="00674F29" w:rsidRDefault="00810A66" w:rsidP="00674F29">
      <w:pPr>
        <w:spacing w:after="0" w:line="240" w:lineRule="auto"/>
      </w:pPr>
    </w:p>
    <w:p w:rsidR="00AA3572" w:rsidRDefault="00AA3572" w:rsidP="00674F29">
      <w:pPr>
        <w:spacing w:after="0" w:line="240" w:lineRule="auto"/>
        <w:rPr>
          <w:highlight w:val="yellow"/>
        </w:rPr>
      </w:pPr>
    </w:p>
    <w:p w:rsidR="0030257C" w:rsidRPr="005E663A" w:rsidRDefault="0030257C" w:rsidP="00735C7E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ZAKLJUČAK</w:t>
      </w:r>
    </w:p>
    <w:p w:rsidR="00AA3572" w:rsidRPr="00674F29" w:rsidRDefault="00AA3572" w:rsidP="00674F29">
      <w:pPr>
        <w:spacing w:after="0" w:line="240" w:lineRule="auto"/>
      </w:pPr>
    </w:p>
    <w:p w:rsidR="005E663A" w:rsidRDefault="005E663A" w:rsidP="00674F29">
      <w:pPr>
        <w:spacing w:after="0" w:line="240" w:lineRule="auto"/>
        <w:jc w:val="both"/>
      </w:pPr>
    </w:p>
    <w:p w:rsidR="00AA3572" w:rsidRPr="00B657A4" w:rsidRDefault="00AA3572" w:rsidP="00674F29">
      <w:pPr>
        <w:spacing w:after="0" w:line="240" w:lineRule="auto"/>
        <w:jc w:val="both"/>
      </w:pPr>
      <w:r w:rsidRPr="00B657A4">
        <w:t>Plan i program rada Studentskog centra u Zagrebu za 201</w:t>
      </w:r>
      <w:r w:rsidR="003B03C4">
        <w:t>8</w:t>
      </w:r>
      <w:r w:rsidRPr="00B657A4">
        <w:t xml:space="preserve">.g. izrađen je </w:t>
      </w:r>
      <w:r w:rsidR="005C442C" w:rsidRPr="00B657A4">
        <w:t>na temelju kretanja prihoda i rashoda u prethodnim godinama te</w:t>
      </w:r>
      <w:r w:rsidR="00E93855" w:rsidRPr="00B657A4">
        <w:t xml:space="preserve"> korigiran sukladno kretanjima određenih veličina</w:t>
      </w:r>
      <w:r w:rsidR="005C442C" w:rsidRPr="00B657A4">
        <w:t xml:space="preserve"> u 201</w:t>
      </w:r>
      <w:r w:rsidR="003B03C4">
        <w:t>7</w:t>
      </w:r>
      <w:r w:rsidR="005C442C" w:rsidRPr="00B657A4">
        <w:t xml:space="preserve">.g. </w:t>
      </w:r>
    </w:p>
    <w:p w:rsidR="00E93855" w:rsidRPr="00B657A4" w:rsidRDefault="003B03C4" w:rsidP="00674F29">
      <w:pPr>
        <w:spacing w:after="0" w:line="240" w:lineRule="auto"/>
        <w:jc w:val="both"/>
      </w:pPr>
      <w:r>
        <w:t>T</w:t>
      </w:r>
      <w:r w:rsidR="00E93855" w:rsidRPr="00B657A4">
        <w:t>ermin okončanja postupka s</w:t>
      </w:r>
      <w:r>
        <w:t>anacije je još uvijek nepoznat, no kako u</w:t>
      </w:r>
      <w:r w:rsidR="001C2E65">
        <w:t xml:space="preserve"> Državnom</w:t>
      </w:r>
      <w:r w:rsidR="00E93855" w:rsidRPr="00B657A4">
        <w:t xml:space="preserve"> proračun</w:t>
      </w:r>
      <w:r w:rsidR="001C2E65">
        <w:t>u</w:t>
      </w:r>
      <w:r w:rsidR="00E93855" w:rsidRPr="00B657A4">
        <w:t xml:space="preserve"> za 201</w:t>
      </w:r>
      <w:r>
        <w:t>8</w:t>
      </w:r>
      <w:r w:rsidR="00E93855" w:rsidRPr="00B657A4">
        <w:t xml:space="preserve">. </w:t>
      </w:r>
      <w:r>
        <w:t xml:space="preserve">nisu planirana </w:t>
      </w:r>
      <w:r w:rsidR="006E3B62">
        <w:t>dodatn</w:t>
      </w:r>
      <w:r>
        <w:t>a sanacijska sredst</w:t>
      </w:r>
      <w:r w:rsidR="006E3B62">
        <w:t xml:space="preserve">va </w:t>
      </w:r>
      <w:r>
        <w:t xml:space="preserve">(stavka </w:t>
      </w:r>
      <w:r w:rsidRPr="003B03C4">
        <w:t>T679068</w:t>
      </w:r>
      <w:r>
        <w:t xml:space="preserve"> – Sanacija Studentskog centra u Zagrebu je ukinuta), a postignuta je financijska stabilnost Studentskog centra u Zagrebu, očekujemo kraj sanacije tijekom 2018.g.</w:t>
      </w:r>
      <w:r w:rsidR="00B657A4" w:rsidRPr="00B657A4">
        <w:t xml:space="preserve"> </w:t>
      </w:r>
    </w:p>
    <w:p w:rsidR="001C2E65" w:rsidRDefault="001C2E65" w:rsidP="00674F29">
      <w:pPr>
        <w:spacing w:after="0" w:line="240" w:lineRule="auto"/>
        <w:jc w:val="both"/>
      </w:pPr>
      <w:r>
        <w:t>Nakon provedene obnove smještajnih kapaciteta SN Stjepan Radić i SN Cvjetno naselje, djel</w:t>
      </w:r>
      <w:r w:rsidR="00415B99">
        <w:t>a</w:t>
      </w:r>
      <w:r>
        <w:t xml:space="preserve">tnost smještaja je dobrim djelom sanirana te </w:t>
      </w:r>
      <w:r w:rsidR="003B03C4">
        <w:t>posluje pozitivno.</w:t>
      </w:r>
      <w:r>
        <w:t xml:space="preserve"> </w:t>
      </w:r>
    </w:p>
    <w:p w:rsidR="00415B99" w:rsidRPr="0045592F" w:rsidRDefault="00415B99" w:rsidP="00674F29">
      <w:pPr>
        <w:spacing w:after="0" w:line="240" w:lineRule="auto"/>
        <w:jc w:val="both"/>
      </w:pPr>
      <w:r w:rsidRPr="0045592F">
        <w:t>Saniranje djelatnosti Prehrane,  s druge strane je otežano zbog brojnih poteškoća kao što su: mijenjanje  prehrambenih</w:t>
      </w:r>
      <w:r w:rsidR="00E93855" w:rsidRPr="0045592F">
        <w:t xml:space="preserve"> navik</w:t>
      </w:r>
      <w:r w:rsidRPr="0045592F">
        <w:t>a</w:t>
      </w:r>
      <w:r w:rsidR="00E93855" w:rsidRPr="0045592F">
        <w:t xml:space="preserve"> studenata</w:t>
      </w:r>
      <w:r w:rsidRPr="0045592F">
        <w:t>, porast cijena hrane, te kadrovska struktura zaposlenika koja opterećuje poslovanje ove radno intenzivne djelatnosti. Zbog velikog broja nepoznatih varijabli, otežan je i proces planiranja prihoda i rashoda djelatnosti.</w:t>
      </w:r>
    </w:p>
    <w:p w:rsidR="00AA3572" w:rsidRPr="0045592F" w:rsidRDefault="00415B99" w:rsidP="00674F29">
      <w:pPr>
        <w:spacing w:after="0" w:line="240" w:lineRule="auto"/>
        <w:jc w:val="both"/>
      </w:pPr>
      <w:r w:rsidRPr="0045592F">
        <w:t>O</w:t>
      </w:r>
      <w:r w:rsidR="00B657A4" w:rsidRPr="0045592F">
        <w:t xml:space="preserve">d početka sanacijskog procesa do danas </w:t>
      </w:r>
      <w:r w:rsidR="00AA3572" w:rsidRPr="0045592F">
        <w:t>znatno</w:t>
      </w:r>
      <w:r w:rsidR="00B657A4" w:rsidRPr="0045592F">
        <w:t xml:space="preserve"> su</w:t>
      </w:r>
      <w:r w:rsidR="00AA3572" w:rsidRPr="0045592F">
        <w:t xml:space="preserve"> poboljšani uvjeti po</w:t>
      </w:r>
      <w:r w:rsidR="00414E04" w:rsidRPr="0045592F">
        <w:t xml:space="preserve">slovanja za Studentski centar jer su dobivena </w:t>
      </w:r>
      <w:r w:rsidR="00AA3572" w:rsidRPr="0045592F">
        <w:t xml:space="preserve"> sredstva koja su omogućila stab</w:t>
      </w:r>
      <w:r w:rsidR="00B657A4" w:rsidRPr="0045592F">
        <w:t xml:space="preserve">ilizaciju poslovanja ustanove. </w:t>
      </w:r>
    </w:p>
    <w:p w:rsidR="00B657A4" w:rsidRPr="0045592F" w:rsidRDefault="00B657A4" w:rsidP="00674F29">
      <w:pPr>
        <w:spacing w:after="0" w:line="240" w:lineRule="auto"/>
        <w:jc w:val="both"/>
        <w:rPr>
          <w:b/>
        </w:rPr>
      </w:pPr>
      <w:r w:rsidRPr="0045592F">
        <w:t>Planiranje je stoga rađeno u iznimno teškim uvjetima s velikim brojem nepoznanica te je za očekivati da će plan nabave te prihoda i rashoda morati doživjeti  određene izmjene kroz 201</w:t>
      </w:r>
      <w:r w:rsidR="003B03C4" w:rsidRPr="0045592F">
        <w:t>8</w:t>
      </w:r>
      <w:r w:rsidRPr="0045592F">
        <w:t>. godinu ovisno o promjenama polaznih veličina.</w:t>
      </w:r>
    </w:p>
    <w:p w:rsidR="00AA3572" w:rsidRPr="0045592F" w:rsidRDefault="00AA3572" w:rsidP="00674F29">
      <w:pPr>
        <w:spacing w:after="0" w:line="240" w:lineRule="auto"/>
        <w:rPr>
          <w:rFonts w:ascii="Times New Roman" w:hAnsi="Times New Roman"/>
        </w:rPr>
      </w:pPr>
    </w:p>
    <w:p w:rsidR="00AA3572" w:rsidRPr="0045592F" w:rsidRDefault="00AA3572" w:rsidP="00674F29">
      <w:pPr>
        <w:spacing w:after="0" w:line="240" w:lineRule="auto"/>
        <w:rPr>
          <w:rFonts w:ascii="Times New Roman" w:hAnsi="Times New Roman"/>
        </w:rPr>
      </w:pPr>
    </w:p>
    <w:p w:rsidR="00AA3572" w:rsidRDefault="00AA3572"/>
    <w:sectPr w:rsidR="00AA3572" w:rsidSect="00500F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97" w:bottom="141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DE" w:rsidRDefault="006D16DE">
      <w:pPr>
        <w:spacing w:after="0" w:line="240" w:lineRule="auto"/>
      </w:pPr>
      <w:r>
        <w:separator/>
      </w:r>
    </w:p>
  </w:endnote>
  <w:endnote w:type="continuationSeparator" w:id="0">
    <w:p w:rsidR="006D16DE" w:rsidRDefault="006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E" w:rsidRDefault="00735C7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E3832">
      <w:rPr>
        <w:noProof/>
      </w:rPr>
      <w:t>2</w:t>
    </w:r>
    <w:r>
      <w:fldChar w:fldCharType="end"/>
    </w:r>
  </w:p>
  <w:p w:rsidR="00735C7E" w:rsidRDefault="00735C7E" w:rsidP="001C2A7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E" w:rsidRDefault="00735C7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E3832">
      <w:rPr>
        <w:noProof/>
      </w:rPr>
      <w:t>1</w:t>
    </w:r>
    <w:r>
      <w:fldChar w:fldCharType="end"/>
    </w:r>
  </w:p>
  <w:p w:rsidR="00735C7E" w:rsidRDefault="00735C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DE" w:rsidRDefault="006D16DE">
      <w:pPr>
        <w:spacing w:after="0" w:line="240" w:lineRule="auto"/>
      </w:pPr>
      <w:r>
        <w:separator/>
      </w:r>
    </w:p>
  </w:footnote>
  <w:footnote w:type="continuationSeparator" w:id="0">
    <w:p w:rsidR="006D16DE" w:rsidRDefault="006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E" w:rsidRDefault="00735C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E" w:rsidRPr="00B76627" w:rsidRDefault="00735C7E">
    <w:pPr>
      <w:pStyle w:val="Zaglavlje"/>
      <w:rPr>
        <w:color w:val="F79646"/>
      </w:rPr>
    </w:pPr>
    <w:r w:rsidRPr="00B76627">
      <w:rPr>
        <w:color w:val="F79646"/>
      </w:rPr>
      <w:t xml:space="preserve">       </w:t>
    </w:r>
    <w:r w:rsidRPr="00991256">
      <w:rPr>
        <w:rFonts w:ascii="Calibri" w:hAnsi="Calibri"/>
        <w:sz w:val="20"/>
        <w:szCs w:val="20"/>
      </w:rPr>
      <w:t>Godišnji plan Studentskog centra u Zagrebu za 201</w:t>
    </w:r>
    <w:r>
      <w:rPr>
        <w:rFonts w:ascii="Calibri" w:hAnsi="Calibri"/>
        <w:sz w:val="20"/>
        <w:szCs w:val="20"/>
      </w:rPr>
      <w:t>8.</w:t>
    </w:r>
    <w:r w:rsidRPr="00991256">
      <w:rPr>
        <w:rFonts w:ascii="Calibri" w:hAnsi="Calibri"/>
        <w:sz w:val="20"/>
        <w:szCs w:val="20"/>
      </w:rPr>
      <w:t>.g</w:t>
    </w:r>
    <w:r>
      <w:rPr>
        <w:rFonts w:ascii="Calibri" w:hAnsi="Calibri"/>
        <w:sz w:val="20"/>
        <w:szCs w:val="20"/>
      </w:rPr>
      <w:t>.</w:t>
    </w:r>
    <w:r w:rsidRPr="00B76627">
      <w:rPr>
        <w:color w:val="F7964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color w:val="F7964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E" w:rsidRPr="00910153" w:rsidRDefault="00735C7E">
    <w:pPr>
      <w:pStyle w:val="Zaglavlje"/>
      <w:rPr>
        <w:rFonts w:ascii="Calibri" w:hAnsi="Calibri"/>
        <w:sz w:val="20"/>
        <w:szCs w:val="20"/>
      </w:rPr>
    </w:pPr>
    <w:r w:rsidRPr="00991256">
      <w:rPr>
        <w:rFonts w:ascii="Calibri" w:hAnsi="Calibri"/>
        <w:sz w:val="20"/>
        <w:szCs w:val="20"/>
      </w:rPr>
      <w:t>Godišnji plan Studentskog centra u Zagrebu za 201</w:t>
    </w:r>
    <w:r>
      <w:rPr>
        <w:rFonts w:ascii="Calibri" w:hAnsi="Calibri"/>
        <w:sz w:val="20"/>
        <w:szCs w:val="20"/>
      </w:rPr>
      <w:t>8</w:t>
    </w:r>
    <w:r w:rsidRPr="00991256">
      <w:rPr>
        <w:rFonts w:ascii="Calibri" w:hAnsi="Calibri"/>
        <w:sz w:val="20"/>
        <w:szCs w:val="20"/>
      </w:rPr>
      <w:t>.g</w:t>
    </w:r>
    <w:r>
      <w:rPr>
        <w:rFonts w:ascii="Calibri" w:hAnsi="Calibr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9B"/>
    <w:multiLevelType w:val="hybridMultilevel"/>
    <w:tmpl w:val="8698F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FB8"/>
    <w:multiLevelType w:val="hybridMultilevel"/>
    <w:tmpl w:val="8CBEDB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43DB"/>
    <w:multiLevelType w:val="hybridMultilevel"/>
    <w:tmpl w:val="B48032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DE1CCC"/>
    <w:multiLevelType w:val="hybridMultilevel"/>
    <w:tmpl w:val="0A386F5A"/>
    <w:lvl w:ilvl="0" w:tplc="041A0019">
      <w:start w:val="1"/>
      <w:numFmt w:val="lowerLetter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5C657D"/>
    <w:multiLevelType w:val="hybridMultilevel"/>
    <w:tmpl w:val="7C88D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352BB"/>
    <w:multiLevelType w:val="multilevel"/>
    <w:tmpl w:val="D8500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6F640E"/>
    <w:multiLevelType w:val="hybridMultilevel"/>
    <w:tmpl w:val="76A61EC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ED516B"/>
    <w:multiLevelType w:val="hybridMultilevel"/>
    <w:tmpl w:val="770C7592"/>
    <w:lvl w:ilvl="0" w:tplc="7DC20DFC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E13143"/>
    <w:multiLevelType w:val="hybridMultilevel"/>
    <w:tmpl w:val="0DE0AF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05CA"/>
    <w:multiLevelType w:val="hybridMultilevel"/>
    <w:tmpl w:val="7B54C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61AC2"/>
    <w:multiLevelType w:val="hybridMultilevel"/>
    <w:tmpl w:val="541ACFEA"/>
    <w:lvl w:ilvl="0" w:tplc="04DE3A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DD8"/>
    <w:multiLevelType w:val="hybridMultilevel"/>
    <w:tmpl w:val="3DA2D676"/>
    <w:lvl w:ilvl="0" w:tplc="682CFD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45D52"/>
    <w:multiLevelType w:val="hybridMultilevel"/>
    <w:tmpl w:val="7BA28D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26F8F"/>
    <w:multiLevelType w:val="hybridMultilevel"/>
    <w:tmpl w:val="391C62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946966"/>
    <w:multiLevelType w:val="hybridMultilevel"/>
    <w:tmpl w:val="519AF5D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733A9"/>
    <w:multiLevelType w:val="hybridMultilevel"/>
    <w:tmpl w:val="4B4C1C9A"/>
    <w:lvl w:ilvl="0" w:tplc="041A0019">
      <w:start w:val="1"/>
      <w:numFmt w:val="lowerLetter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D2D0967"/>
    <w:multiLevelType w:val="hybridMultilevel"/>
    <w:tmpl w:val="D5861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40AFA"/>
    <w:multiLevelType w:val="multilevel"/>
    <w:tmpl w:val="FA5A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4463E3"/>
    <w:multiLevelType w:val="hybridMultilevel"/>
    <w:tmpl w:val="95BE0F30"/>
    <w:lvl w:ilvl="0" w:tplc="04DE3A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EF4D98"/>
    <w:multiLevelType w:val="hybridMultilevel"/>
    <w:tmpl w:val="D86E7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0173"/>
    <w:multiLevelType w:val="hybridMultilevel"/>
    <w:tmpl w:val="4886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D74B22"/>
    <w:multiLevelType w:val="hybridMultilevel"/>
    <w:tmpl w:val="3D02E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293B"/>
    <w:multiLevelType w:val="hybridMultilevel"/>
    <w:tmpl w:val="16C87488"/>
    <w:lvl w:ilvl="0" w:tplc="B554E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A4E42"/>
    <w:multiLevelType w:val="hybridMultilevel"/>
    <w:tmpl w:val="56A8C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00C36"/>
    <w:multiLevelType w:val="hybridMultilevel"/>
    <w:tmpl w:val="66D22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27F66"/>
    <w:multiLevelType w:val="hybridMultilevel"/>
    <w:tmpl w:val="AA10A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855B56"/>
    <w:multiLevelType w:val="multilevel"/>
    <w:tmpl w:val="1974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941DBD"/>
    <w:multiLevelType w:val="hybridMultilevel"/>
    <w:tmpl w:val="7F80C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F65BB"/>
    <w:multiLevelType w:val="multilevel"/>
    <w:tmpl w:val="0AC2134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84B160C"/>
    <w:multiLevelType w:val="hybridMultilevel"/>
    <w:tmpl w:val="32AA2856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4C504E53"/>
    <w:multiLevelType w:val="hybridMultilevel"/>
    <w:tmpl w:val="94AE4852"/>
    <w:lvl w:ilvl="0" w:tplc="EBB40CA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A12AF4"/>
    <w:multiLevelType w:val="hybridMultilevel"/>
    <w:tmpl w:val="3B9AE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2E47"/>
    <w:multiLevelType w:val="hybridMultilevel"/>
    <w:tmpl w:val="459E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C48A4"/>
    <w:multiLevelType w:val="multilevel"/>
    <w:tmpl w:val="6F50EC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4" w15:restartNumberingAfterBreak="0">
    <w:nsid w:val="53E71DE7"/>
    <w:multiLevelType w:val="hybridMultilevel"/>
    <w:tmpl w:val="7D2ED14A"/>
    <w:lvl w:ilvl="0" w:tplc="00CAB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07A9E"/>
    <w:multiLevelType w:val="hybridMultilevel"/>
    <w:tmpl w:val="847AC85C"/>
    <w:lvl w:ilvl="0" w:tplc="03A2C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E50E7"/>
    <w:multiLevelType w:val="hybridMultilevel"/>
    <w:tmpl w:val="FAB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605E3C"/>
    <w:multiLevelType w:val="multilevel"/>
    <w:tmpl w:val="F5E26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D27ACC"/>
    <w:multiLevelType w:val="multilevel"/>
    <w:tmpl w:val="FA5A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AB55CD"/>
    <w:multiLevelType w:val="hybridMultilevel"/>
    <w:tmpl w:val="583C4A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480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A16F55"/>
    <w:multiLevelType w:val="hybridMultilevel"/>
    <w:tmpl w:val="C038C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96353"/>
    <w:multiLevelType w:val="hybridMultilevel"/>
    <w:tmpl w:val="F3FCA5AC"/>
    <w:lvl w:ilvl="0" w:tplc="5C78E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4D03E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5C3248E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76981"/>
    <w:multiLevelType w:val="hybridMultilevel"/>
    <w:tmpl w:val="F9165B20"/>
    <w:lvl w:ilvl="0" w:tplc="7DC20DFC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7E7D0E"/>
    <w:multiLevelType w:val="hybridMultilevel"/>
    <w:tmpl w:val="AA10A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1"/>
  </w:num>
  <w:num w:numId="4">
    <w:abstractNumId w:val="39"/>
  </w:num>
  <w:num w:numId="5">
    <w:abstractNumId w:val="34"/>
  </w:num>
  <w:num w:numId="6">
    <w:abstractNumId w:val="22"/>
  </w:num>
  <w:num w:numId="7">
    <w:abstractNumId w:val="36"/>
  </w:num>
  <w:num w:numId="8">
    <w:abstractNumId w:val="38"/>
  </w:num>
  <w:num w:numId="9">
    <w:abstractNumId w:val="26"/>
  </w:num>
  <w:num w:numId="10">
    <w:abstractNumId w:val="20"/>
  </w:num>
  <w:num w:numId="11">
    <w:abstractNumId w:val="4"/>
  </w:num>
  <w:num w:numId="12">
    <w:abstractNumId w:val="43"/>
  </w:num>
  <w:num w:numId="13">
    <w:abstractNumId w:val="5"/>
  </w:num>
  <w:num w:numId="14">
    <w:abstractNumId w:val="33"/>
  </w:num>
  <w:num w:numId="15">
    <w:abstractNumId w:val="7"/>
  </w:num>
  <w:num w:numId="16">
    <w:abstractNumId w:val="30"/>
  </w:num>
  <w:num w:numId="17">
    <w:abstractNumId w:val="9"/>
  </w:num>
  <w:num w:numId="18">
    <w:abstractNumId w:val="3"/>
  </w:num>
  <w:num w:numId="19">
    <w:abstractNumId w:val="15"/>
  </w:num>
  <w:num w:numId="20">
    <w:abstractNumId w:val="37"/>
  </w:num>
  <w:num w:numId="21">
    <w:abstractNumId w:val="12"/>
  </w:num>
  <w:num w:numId="22">
    <w:abstractNumId w:val="2"/>
  </w:num>
  <w:num w:numId="23">
    <w:abstractNumId w:val="31"/>
  </w:num>
  <w:num w:numId="24">
    <w:abstractNumId w:val="11"/>
  </w:num>
  <w:num w:numId="25">
    <w:abstractNumId w:val="24"/>
  </w:num>
  <w:num w:numId="26">
    <w:abstractNumId w:val="35"/>
  </w:num>
  <w:num w:numId="27">
    <w:abstractNumId w:val="17"/>
  </w:num>
  <w:num w:numId="28">
    <w:abstractNumId w:val="25"/>
  </w:num>
  <w:num w:numId="29">
    <w:abstractNumId w:val="28"/>
  </w:num>
  <w:num w:numId="30">
    <w:abstractNumId w:val="40"/>
  </w:num>
  <w:num w:numId="31">
    <w:abstractNumId w:val="14"/>
  </w:num>
  <w:num w:numId="32">
    <w:abstractNumId w:val="18"/>
  </w:num>
  <w:num w:numId="33">
    <w:abstractNumId w:val="10"/>
  </w:num>
  <w:num w:numId="34">
    <w:abstractNumId w:val="19"/>
  </w:num>
  <w:num w:numId="35">
    <w:abstractNumId w:val="13"/>
  </w:num>
  <w:num w:numId="36">
    <w:abstractNumId w:val="32"/>
  </w:num>
  <w:num w:numId="37">
    <w:abstractNumId w:val="16"/>
  </w:num>
  <w:num w:numId="38">
    <w:abstractNumId w:val="21"/>
  </w:num>
  <w:num w:numId="39">
    <w:abstractNumId w:val="23"/>
  </w:num>
  <w:num w:numId="40">
    <w:abstractNumId w:val="27"/>
  </w:num>
  <w:num w:numId="41">
    <w:abstractNumId w:val="6"/>
  </w:num>
  <w:num w:numId="42">
    <w:abstractNumId w:val="42"/>
  </w:num>
  <w:num w:numId="43">
    <w:abstractNumId w:val="0"/>
  </w:num>
  <w:num w:numId="4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29"/>
    <w:rsid w:val="000022CB"/>
    <w:rsid w:val="00002943"/>
    <w:rsid w:val="000044EA"/>
    <w:rsid w:val="00005DD3"/>
    <w:rsid w:val="00012B32"/>
    <w:rsid w:val="00013886"/>
    <w:rsid w:val="0001703A"/>
    <w:rsid w:val="000214F7"/>
    <w:rsid w:val="0002488C"/>
    <w:rsid w:val="00025B57"/>
    <w:rsid w:val="00026A7B"/>
    <w:rsid w:val="000278A4"/>
    <w:rsid w:val="00030497"/>
    <w:rsid w:val="00031FE0"/>
    <w:rsid w:val="00032E8F"/>
    <w:rsid w:val="00036955"/>
    <w:rsid w:val="00040CF9"/>
    <w:rsid w:val="00046267"/>
    <w:rsid w:val="000505B3"/>
    <w:rsid w:val="000537B8"/>
    <w:rsid w:val="00057714"/>
    <w:rsid w:val="00060A43"/>
    <w:rsid w:val="00060ECE"/>
    <w:rsid w:val="00062236"/>
    <w:rsid w:val="000657A5"/>
    <w:rsid w:val="00065B69"/>
    <w:rsid w:val="00071EE4"/>
    <w:rsid w:val="0007773E"/>
    <w:rsid w:val="00083BA3"/>
    <w:rsid w:val="00093B11"/>
    <w:rsid w:val="000B0C4D"/>
    <w:rsid w:val="000B0E11"/>
    <w:rsid w:val="000B1295"/>
    <w:rsid w:val="000B5F49"/>
    <w:rsid w:val="000B6A8B"/>
    <w:rsid w:val="000C1E56"/>
    <w:rsid w:val="000C409C"/>
    <w:rsid w:val="000C74C8"/>
    <w:rsid w:val="000D2142"/>
    <w:rsid w:val="000D68B2"/>
    <w:rsid w:val="000E01A6"/>
    <w:rsid w:val="000E3D70"/>
    <w:rsid w:val="000F3AC3"/>
    <w:rsid w:val="000F4BEC"/>
    <w:rsid w:val="001010E5"/>
    <w:rsid w:val="00103096"/>
    <w:rsid w:val="001057B7"/>
    <w:rsid w:val="00111D09"/>
    <w:rsid w:val="001153F2"/>
    <w:rsid w:val="00115D56"/>
    <w:rsid w:val="00124DC7"/>
    <w:rsid w:val="0012625C"/>
    <w:rsid w:val="00126F7F"/>
    <w:rsid w:val="00136A8B"/>
    <w:rsid w:val="0014350F"/>
    <w:rsid w:val="00143777"/>
    <w:rsid w:val="001508F1"/>
    <w:rsid w:val="00151E79"/>
    <w:rsid w:val="00152C57"/>
    <w:rsid w:val="00156DEF"/>
    <w:rsid w:val="00157623"/>
    <w:rsid w:val="00157B69"/>
    <w:rsid w:val="00163AF6"/>
    <w:rsid w:val="00163F43"/>
    <w:rsid w:val="00164871"/>
    <w:rsid w:val="0016565A"/>
    <w:rsid w:val="0016607C"/>
    <w:rsid w:val="00166CF4"/>
    <w:rsid w:val="0017113A"/>
    <w:rsid w:val="001712E8"/>
    <w:rsid w:val="00177972"/>
    <w:rsid w:val="00184BC5"/>
    <w:rsid w:val="001857BE"/>
    <w:rsid w:val="00191294"/>
    <w:rsid w:val="0019303B"/>
    <w:rsid w:val="00193504"/>
    <w:rsid w:val="00194C26"/>
    <w:rsid w:val="00195EE6"/>
    <w:rsid w:val="00197F98"/>
    <w:rsid w:val="001A5A10"/>
    <w:rsid w:val="001A655C"/>
    <w:rsid w:val="001B0636"/>
    <w:rsid w:val="001B06EC"/>
    <w:rsid w:val="001C2A7C"/>
    <w:rsid w:val="001C2E65"/>
    <w:rsid w:val="001C667F"/>
    <w:rsid w:val="001D098F"/>
    <w:rsid w:val="001E107E"/>
    <w:rsid w:val="001E30CD"/>
    <w:rsid w:val="001E3832"/>
    <w:rsid w:val="001F413A"/>
    <w:rsid w:val="001F700D"/>
    <w:rsid w:val="001F76B0"/>
    <w:rsid w:val="001F7C26"/>
    <w:rsid w:val="00201149"/>
    <w:rsid w:val="0020258C"/>
    <w:rsid w:val="00203E24"/>
    <w:rsid w:val="00204F9E"/>
    <w:rsid w:val="00213906"/>
    <w:rsid w:val="00213A8A"/>
    <w:rsid w:val="00216B04"/>
    <w:rsid w:val="00221FF4"/>
    <w:rsid w:val="002255AC"/>
    <w:rsid w:val="002278C2"/>
    <w:rsid w:val="002368A4"/>
    <w:rsid w:val="002379A5"/>
    <w:rsid w:val="00241796"/>
    <w:rsid w:val="00242C7D"/>
    <w:rsid w:val="0025077C"/>
    <w:rsid w:val="00252B63"/>
    <w:rsid w:val="002541E4"/>
    <w:rsid w:val="002558CA"/>
    <w:rsid w:val="0026152F"/>
    <w:rsid w:val="00262E75"/>
    <w:rsid w:val="00271998"/>
    <w:rsid w:val="00273FD5"/>
    <w:rsid w:val="00274636"/>
    <w:rsid w:val="00287F42"/>
    <w:rsid w:val="00295247"/>
    <w:rsid w:val="002955B7"/>
    <w:rsid w:val="002A0DE0"/>
    <w:rsid w:val="002A26BF"/>
    <w:rsid w:val="002A351C"/>
    <w:rsid w:val="002A6593"/>
    <w:rsid w:val="002B06F5"/>
    <w:rsid w:val="002B0ACB"/>
    <w:rsid w:val="002B25A9"/>
    <w:rsid w:val="002B2FE4"/>
    <w:rsid w:val="002B7F45"/>
    <w:rsid w:val="002C18E7"/>
    <w:rsid w:val="002D1812"/>
    <w:rsid w:val="002D20AB"/>
    <w:rsid w:val="002D23DA"/>
    <w:rsid w:val="002D4985"/>
    <w:rsid w:val="002D5C9D"/>
    <w:rsid w:val="002D6A0D"/>
    <w:rsid w:val="002E246D"/>
    <w:rsid w:val="002E431E"/>
    <w:rsid w:val="002E4DE8"/>
    <w:rsid w:val="002F0B9D"/>
    <w:rsid w:val="002F0F5C"/>
    <w:rsid w:val="002F1BC2"/>
    <w:rsid w:val="002F62E1"/>
    <w:rsid w:val="002F6D36"/>
    <w:rsid w:val="002F76F2"/>
    <w:rsid w:val="0030257C"/>
    <w:rsid w:val="003039FF"/>
    <w:rsid w:val="003042ED"/>
    <w:rsid w:val="00325DC4"/>
    <w:rsid w:val="00326239"/>
    <w:rsid w:val="003317D0"/>
    <w:rsid w:val="00335D07"/>
    <w:rsid w:val="00345342"/>
    <w:rsid w:val="003454F6"/>
    <w:rsid w:val="00351880"/>
    <w:rsid w:val="00351B84"/>
    <w:rsid w:val="0035225D"/>
    <w:rsid w:val="003567AE"/>
    <w:rsid w:val="0036205E"/>
    <w:rsid w:val="00362841"/>
    <w:rsid w:val="00365D7A"/>
    <w:rsid w:val="00366731"/>
    <w:rsid w:val="0037583E"/>
    <w:rsid w:val="00376A8B"/>
    <w:rsid w:val="00377EF9"/>
    <w:rsid w:val="00387185"/>
    <w:rsid w:val="003874E6"/>
    <w:rsid w:val="003908D4"/>
    <w:rsid w:val="00392900"/>
    <w:rsid w:val="00393281"/>
    <w:rsid w:val="003A33B1"/>
    <w:rsid w:val="003A59ED"/>
    <w:rsid w:val="003A5E2E"/>
    <w:rsid w:val="003A6EE0"/>
    <w:rsid w:val="003A7A7A"/>
    <w:rsid w:val="003B03C4"/>
    <w:rsid w:val="003B2201"/>
    <w:rsid w:val="003B29A1"/>
    <w:rsid w:val="003B332D"/>
    <w:rsid w:val="003C31F3"/>
    <w:rsid w:val="003C5EC2"/>
    <w:rsid w:val="003C5F87"/>
    <w:rsid w:val="003C657A"/>
    <w:rsid w:val="003D1739"/>
    <w:rsid w:val="003E28DE"/>
    <w:rsid w:val="003E50C0"/>
    <w:rsid w:val="003E51EB"/>
    <w:rsid w:val="003F5102"/>
    <w:rsid w:val="003F68FE"/>
    <w:rsid w:val="00403A65"/>
    <w:rsid w:val="0040419B"/>
    <w:rsid w:val="00405FC5"/>
    <w:rsid w:val="00406509"/>
    <w:rsid w:val="004107F9"/>
    <w:rsid w:val="004141CD"/>
    <w:rsid w:val="00414E04"/>
    <w:rsid w:val="00415B99"/>
    <w:rsid w:val="00417F5A"/>
    <w:rsid w:val="00422834"/>
    <w:rsid w:val="00422A4C"/>
    <w:rsid w:val="00424E7E"/>
    <w:rsid w:val="00425E75"/>
    <w:rsid w:val="00426130"/>
    <w:rsid w:val="00430476"/>
    <w:rsid w:val="00431CA0"/>
    <w:rsid w:val="00432D88"/>
    <w:rsid w:val="004377DD"/>
    <w:rsid w:val="00440B23"/>
    <w:rsid w:val="00443789"/>
    <w:rsid w:val="00444578"/>
    <w:rsid w:val="0045592F"/>
    <w:rsid w:val="00461133"/>
    <w:rsid w:val="0046119C"/>
    <w:rsid w:val="0046419E"/>
    <w:rsid w:val="00464404"/>
    <w:rsid w:val="00464AE1"/>
    <w:rsid w:val="00465A4B"/>
    <w:rsid w:val="00465D44"/>
    <w:rsid w:val="00466F7B"/>
    <w:rsid w:val="00470526"/>
    <w:rsid w:val="004751BE"/>
    <w:rsid w:val="00475BBE"/>
    <w:rsid w:val="0048182E"/>
    <w:rsid w:val="004861C0"/>
    <w:rsid w:val="00486215"/>
    <w:rsid w:val="00486257"/>
    <w:rsid w:val="004875F6"/>
    <w:rsid w:val="00494C20"/>
    <w:rsid w:val="004A2F20"/>
    <w:rsid w:val="004A5A68"/>
    <w:rsid w:val="004A7D22"/>
    <w:rsid w:val="004B20A0"/>
    <w:rsid w:val="004B3DBA"/>
    <w:rsid w:val="004B50A9"/>
    <w:rsid w:val="004B61BC"/>
    <w:rsid w:val="004C00EC"/>
    <w:rsid w:val="004C33EB"/>
    <w:rsid w:val="004C5EF9"/>
    <w:rsid w:val="004D25F7"/>
    <w:rsid w:val="004D32F6"/>
    <w:rsid w:val="004E7D2B"/>
    <w:rsid w:val="004F273D"/>
    <w:rsid w:val="004F394E"/>
    <w:rsid w:val="004F4F4F"/>
    <w:rsid w:val="004F51BE"/>
    <w:rsid w:val="00500F80"/>
    <w:rsid w:val="00501188"/>
    <w:rsid w:val="00502C51"/>
    <w:rsid w:val="00511617"/>
    <w:rsid w:val="0052093F"/>
    <w:rsid w:val="005249DD"/>
    <w:rsid w:val="0053014B"/>
    <w:rsid w:val="00531E93"/>
    <w:rsid w:val="00532745"/>
    <w:rsid w:val="00532A55"/>
    <w:rsid w:val="00533C8F"/>
    <w:rsid w:val="00535D6F"/>
    <w:rsid w:val="00540614"/>
    <w:rsid w:val="00544266"/>
    <w:rsid w:val="00550609"/>
    <w:rsid w:val="00564ADB"/>
    <w:rsid w:val="00565AF2"/>
    <w:rsid w:val="00571029"/>
    <w:rsid w:val="005710C9"/>
    <w:rsid w:val="00595ADD"/>
    <w:rsid w:val="005A06E8"/>
    <w:rsid w:val="005B14B2"/>
    <w:rsid w:val="005B4028"/>
    <w:rsid w:val="005B5CAC"/>
    <w:rsid w:val="005C0384"/>
    <w:rsid w:val="005C060D"/>
    <w:rsid w:val="005C442C"/>
    <w:rsid w:val="005C57F7"/>
    <w:rsid w:val="005C7D09"/>
    <w:rsid w:val="005D3727"/>
    <w:rsid w:val="005D4D77"/>
    <w:rsid w:val="005D6D47"/>
    <w:rsid w:val="005E0F3B"/>
    <w:rsid w:val="005E4210"/>
    <w:rsid w:val="005E663A"/>
    <w:rsid w:val="005E786C"/>
    <w:rsid w:val="005F030E"/>
    <w:rsid w:val="005F09BE"/>
    <w:rsid w:val="005F213E"/>
    <w:rsid w:val="0060073D"/>
    <w:rsid w:val="00600A65"/>
    <w:rsid w:val="006013E1"/>
    <w:rsid w:val="00604B7E"/>
    <w:rsid w:val="00613149"/>
    <w:rsid w:val="00614280"/>
    <w:rsid w:val="0061433B"/>
    <w:rsid w:val="0061763C"/>
    <w:rsid w:val="006247DA"/>
    <w:rsid w:val="0062589B"/>
    <w:rsid w:val="00633F4B"/>
    <w:rsid w:val="00635177"/>
    <w:rsid w:val="006364CD"/>
    <w:rsid w:val="00636741"/>
    <w:rsid w:val="0064528A"/>
    <w:rsid w:val="00645A18"/>
    <w:rsid w:val="0065182C"/>
    <w:rsid w:val="00654802"/>
    <w:rsid w:val="00657295"/>
    <w:rsid w:val="00663EBC"/>
    <w:rsid w:val="006735A8"/>
    <w:rsid w:val="006737D6"/>
    <w:rsid w:val="00673970"/>
    <w:rsid w:val="006740DF"/>
    <w:rsid w:val="00674BCC"/>
    <w:rsid w:val="00674F29"/>
    <w:rsid w:val="00677CB3"/>
    <w:rsid w:val="00682676"/>
    <w:rsid w:val="00682F2D"/>
    <w:rsid w:val="00683DB3"/>
    <w:rsid w:val="00690BDA"/>
    <w:rsid w:val="00693F10"/>
    <w:rsid w:val="00694064"/>
    <w:rsid w:val="00695CF2"/>
    <w:rsid w:val="00696FDC"/>
    <w:rsid w:val="00697999"/>
    <w:rsid w:val="00697A96"/>
    <w:rsid w:val="006A2615"/>
    <w:rsid w:val="006A3746"/>
    <w:rsid w:val="006A599D"/>
    <w:rsid w:val="006A5A53"/>
    <w:rsid w:val="006A699A"/>
    <w:rsid w:val="006A7ED8"/>
    <w:rsid w:val="006B0585"/>
    <w:rsid w:val="006B1179"/>
    <w:rsid w:val="006B2D3A"/>
    <w:rsid w:val="006B7846"/>
    <w:rsid w:val="006C793A"/>
    <w:rsid w:val="006C7B65"/>
    <w:rsid w:val="006C7F8D"/>
    <w:rsid w:val="006D0019"/>
    <w:rsid w:val="006D16DE"/>
    <w:rsid w:val="006D1F0D"/>
    <w:rsid w:val="006E0EB6"/>
    <w:rsid w:val="006E11A3"/>
    <w:rsid w:val="006E13B6"/>
    <w:rsid w:val="006E3B62"/>
    <w:rsid w:val="006F0E86"/>
    <w:rsid w:val="006F4CF8"/>
    <w:rsid w:val="006F5CDB"/>
    <w:rsid w:val="006F7900"/>
    <w:rsid w:val="00704FFC"/>
    <w:rsid w:val="00710DFA"/>
    <w:rsid w:val="00713B78"/>
    <w:rsid w:val="00716365"/>
    <w:rsid w:val="007164C8"/>
    <w:rsid w:val="0072031B"/>
    <w:rsid w:val="00721DCB"/>
    <w:rsid w:val="00724E5E"/>
    <w:rsid w:val="007271E5"/>
    <w:rsid w:val="00727749"/>
    <w:rsid w:val="00733FF8"/>
    <w:rsid w:val="00734360"/>
    <w:rsid w:val="00734391"/>
    <w:rsid w:val="00735C7E"/>
    <w:rsid w:val="00747A14"/>
    <w:rsid w:val="0075086E"/>
    <w:rsid w:val="00751272"/>
    <w:rsid w:val="00751327"/>
    <w:rsid w:val="007605CF"/>
    <w:rsid w:val="00761E2D"/>
    <w:rsid w:val="00765D99"/>
    <w:rsid w:val="00774420"/>
    <w:rsid w:val="00774860"/>
    <w:rsid w:val="007764E4"/>
    <w:rsid w:val="00784426"/>
    <w:rsid w:val="00786C09"/>
    <w:rsid w:val="007875F0"/>
    <w:rsid w:val="0079004C"/>
    <w:rsid w:val="00792317"/>
    <w:rsid w:val="007932E9"/>
    <w:rsid w:val="007939C3"/>
    <w:rsid w:val="00796E55"/>
    <w:rsid w:val="007A2B20"/>
    <w:rsid w:val="007A4A1B"/>
    <w:rsid w:val="007A72A0"/>
    <w:rsid w:val="007A7E09"/>
    <w:rsid w:val="007B2CF5"/>
    <w:rsid w:val="007B6187"/>
    <w:rsid w:val="007B6CBF"/>
    <w:rsid w:val="007C400C"/>
    <w:rsid w:val="007C439D"/>
    <w:rsid w:val="007C62E8"/>
    <w:rsid w:val="007C7AFE"/>
    <w:rsid w:val="007D132A"/>
    <w:rsid w:val="007D1B93"/>
    <w:rsid w:val="007D25A3"/>
    <w:rsid w:val="007E0D37"/>
    <w:rsid w:val="007E3B23"/>
    <w:rsid w:val="007E5C4E"/>
    <w:rsid w:val="00806C3A"/>
    <w:rsid w:val="00807357"/>
    <w:rsid w:val="00810A66"/>
    <w:rsid w:val="00811712"/>
    <w:rsid w:val="00812E40"/>
    <w:rsid w:val="00817390"/>
    <w:rsid w:val="0082299F"/>
    <w:rsid w:val="0082715F"/>
    <w:rsid w:val="0083012F"/>
    <w:rsid w:val="00847040"/>
    <w:rsid w:val="00847A04"/>
    <w:rsid w:val="008520ED"/>
    <w:rsid w:val="00854523"/>
    <w:rsid w:val="0085475A"/>
    <w:rsid w:val="00857145"/>
    <w:rsid w:val="00861A5E"/>
    <w:rsid w:val="0086414F"/>
    <w:rsid w:val="008649DD"/>
    <w:rsid w:val="0087118E"/>
    <w:rsid w:val="00872B41"/>
    <w:rsid w:val="0087741F"/>
    <w:rsid w:val="00877A04"/>
    <w:rsid w:val="00880289"/>
    <w:rsid w:val="00881B3B"/>
    <w:rsid w:val="008833AD"/>
    <w:rsid w:val="00890F48"/>
    <w:rsid w:val="00895F85"/>
    <w:rsid w:val="0089738F"/>
    <w:rsid w:val="008A51D0"/>
    <w:rsid w:val="008A5D7D"/>
    <w:rsid w:val="008A6369"/>
    <w:rsid w:val="008A6B16"/>
    <w:rsid w:val="008B3E95"/>
    <w:rsid w:val="008B6A61"/>
    <w:rsid w:val="008B763F"/>
    <w:rsid w:val="008C2E77"/>
    <w:rsid w:val="008C366E"/>
    <w:rsid w:val="008D0786"/>
    <w:rsid w:val="008D2E9B"/>
    <w:rsid w:val="008D7398"/>
    <w:rsid w:val="008E2BB1"/>
    <w:rsid w:val="008E2FCD"/>
    <w:rsid w:val="008E4A25"/>
    <w:rsid w:val="008E65D5"/>
    <w:rsid w:val="008F1499"/>
    <w:rsid w:val="008F384D"/>
    <w:rsid w:val="008F3850"/>
    <w:rsid w:val="008F61EC"/>
    <w:rsid w:val="009029B7"/>
    <w:rsid w:val="0090338F"/>
    <w:rsid w:val="00907134"/>
    <w:rsid w:val="00910153"/>
    <w:rsid w:val="00911D60"/>
    <w:rsid w:val="00913650"/>
    <w:rsid w:val="0092095B"/>
    <w:rsid w:val="00920BD9"/>
    <w:rsid w:val="00922F89"/>
    <w:rsid w:val="009231CF"/>
    <w:rsid w:val="00925876"/>
    <w:rsid w:val="0093269D"/>
    <w:rsid w:val="0094542A"/>
    <w:rsid w:val="0094564C"/>
    <w:rsid w:val="00945948"/>
    <w:rsid w:val="00952D84"/>
    <w:rsid w:val="009534CB"/>
    <w:rsid w:val="009557DF"/>
    <w:rsid w:val="00955853"/>
    <w:rsid w:val="00961B90"/>
    <w:rsid w:val="00962BEF"/>
    <w:rsid w:val="0096379F"/>
    <w:rsid w:val="00963C6D"/>
    <w:rsid w:val="00964721"/>
    <w:rsid w:val="00965B22"/>
    <w:rsid w:val="00967A0F"/>
    <w:rsid w:val="00974334"/>
    <w:rsid w:val="009821B2"/>
    <w:rsid w:val="009826DC"/>
    <w:rsid w:val="00984473"/>
    <w:rsid w:val="0098558F"/>
    <w:rsid w:val="00991256"/>
    <w:rsid w:val="009934E5"/>
    <w:rsid w:val="009A0ED4"/>
    <w:rsid w:val="009A278F"/>
    <w:rsid w:val="009A44E1"/>
    <w:rsid w:val="009A4DAE"/>
    <w:rsid w:val="009A51F3"/>
    <w:rsid w:val="009A5529"/>
    <w:rsid w:val="009A7C55"/>
    <w:rsid w:val="009B2A31"/>
    <w:rsid w:val="009B30D2"/>
    <w:rsid w:val="009B47CD"/>
    <w:rsid w:val="009B706C"/>
    <w:rsid w:val="009B7B7D"/>
    <w:rsid w:val="009C3174"/>
    <w:rsid w:val="009C3828"/>
    <w:rsid w:val="009C48B5"/>
    <w:rsid w:val="009C4C87"/>
    <w:rsid w:val="009C4CAA"/>
    <w:rsid w:val="009C5AF0"/>
    <w:rsid w:val="009C73D1"/>
    <w:rsid w:val="009C7E67"/>
    <w:rsid w:val="009D0094"/>
    <w:rsid w:val="009D3176"/>
    <w:rsid w:val="009E01FB"/>
    <w:rsid w:val="009E0EB1"/>
    <w:rsid w:val="009E2A9A"/>
    <w:rsid w:val="009E4000"/>
    <w:rsid w:val="009E405F"/>
    <w:rsid w:val="009E6517"/>
    <w:rsid w:val="009F064A"/>
    <w:rsid w:val="009F2DA8"/>
    <w:rsid w:val="009F5A0B"/>
    <w:rsid w:val="009F6B4A"/>
    <w:rsid w:val="00A01CF7"/>
    <w:rsid w:val="00A03180"/>
    <w:rsid w:val="00A03741"/>
    <w:rsid w:val="00A05FE1"/>
    <w:rsid w:val="00A06FAE"/>
    <w:rsid w:val="00A07BB0"/>
    <w:rsid w:val="00A1196C"/>
    <w:rsid w:val="00A12B73"/>
    <w:rsid w:val="00A135CE"/>
    <w:rsid w:val="00A14ED5"/>
    <w:rsid w:val="00A1671B"/>
    <w:rsid w:val="00A230A4"/>
    <w:rsid w:val="00A26991"/>
    <w:rsid w:val="00A316FC"/>
    <w:rsid w:val="00A33825"/>
    <w:rsid w:val="00A33EEF"/>
    <w:rsid w:val="00A36AE5"/>
    <w:rsid w:val="00A37894"/>
    <w:rsid w:val="00A42823"/>
    <w:rsid w:val="00A44509"/>
    <w:rsid w:val="00A51DD4"/>
    <w:rsid w:val="00A51E78"/>
    <w:rsid w:val="00A529CF"/>
    <w:rsid w:val="00A53662"/>
    <w:rsid w:val="00A72FEF"/>
    <w:rsid w:val="00A757DC"/>
    <w:rsid w:val="00A807F0"/>
    <w:rsid w:val="00A829ED"/>
    <w:rsid w:val="00A83028"/>
    <w:rsid w:val="00A83CB4"/>
    <w:rsid w:val="00A92254"/>
    <w:rsid w:val="00A92C3A"/>
    <w:rsid w:val="00A92FB6"/>
    <w:rsid w:val="00A94B72"/>
    <w:rsid w:val="00AA3572"/>
    <w:rsid w:val="00AA550E"/>
    <w:rsid w:val="00AB198E"/>
    <w:rsid w:val="00AB73BD"/>
    <w:rsid w:val="00AC64F3"/>
    <w:rsid w:val="00AC68E1"/>
    <w:rsid w:val="00AD6A8D"/>
    <w:rsid w:val="00AD6C10"/>
    <w:rsid w:val="00AD6F92"/>
    <w:rsid w:val="00AD7508"/>
    <w:rsid w:val="00AD7897"/>
    <w:rsid w:val="00AE0F00"/>
    <w:rsid w:val="00AE0FD6"/>
    <w:rsid w:val="00AE18CC"/>
    <w:rsid w:val="00AE279F"/>
    <w:rsid w:val="00AF5A83"/>
    <w:rsid w:val="00AF5D03"/>
    <w:rsid w:val="00B012BA"/>
    <w:rsid w:val="00B11FBB"/>
    <w:rsid w:val="00B15403"/>
    <w:rsid w:val="00B21EDD"/>
    <w:rsid w:val="00B22972"/>
    <w:rsid w:val="00B245F3"/>
    <w:rsid w:val="00B2681A"/>
    <w:rsid w:val="00B270FA"/>
    <w:rsid w:val="00B31590"/>
    <w:rsid w:val="00B31D33"/>
    <w:rsid w:val="00B3218F"/>
    <w:rsid w:val="00B32C49"/>
    <w:rsid w:val="00B32E32"/>
    <w:rsid w:val="00B336AB"/>
    <w:rsid w:val="00B3586E"/>
    <w:rsid w:val="00B423F0"/>
    <w:rsid w:val="00B43139"/>
    <w:rsid w:val="00B47AC3"/>
    <w:rsid w:val="00B55DCA"/>
    <w:rsid w:val="00B63853"/>
    <w:rsid w:val="00B657A4"/>
    <w:rsid w:val="00B6639B"/>
    <w:rsid w:val="00B71419"/>
    <w:rsid w:val="00B72A33"/>
    <w:rsid w:val="00B72B03"/>
    <w:rsid w:val="00B76627"/>
    <w:rsid w:val="00B77359"/>
    <w:rsid w:val="00B77FB6"/>
    <w:rsid w:val="00B80328"/>
    <w:rsid w:val="00B82A3B"/>
    <w:rsid w:val="00B8645D"/>
    <w:rsid w:val="00B91D11"/>
    <w:rsid w:val="00B938BF"/>
    <w:rsid w:val="00B94A36"/>
    <w:rsid w:val="00B94B6E"/>
    <w:rsid w:val="00B95DB0"/>
    <w:rsid w:val="00B96121"/>
    <w:rsid w:val="00BA2327"/>
    <w:rsid w:val="00BA2D80"/>
    <w:rsid w:val="00BA4657"/>
    <w:rsid w:val="00BB4743"/>
    <w:rsid w:val="00BC1BB7"/>
    <w:rsid w:val="00BC33D1"/>
    <w:rsid w:val="00BC350E"/>
    <w:rsid w:val="00BC475E"/>
    <w:rsid w:val="00BD3566"/>
    <w:rsid w:val="00BD3CB6"/>
    <w:rsid w:val="00BE1203"/>
    <w:rsid w:val="00BE3055"/>
    <w:rsid w:val="00BE5A89"/>
    <w:rsid w:val="00BE63F4"/>
    <w:rsid w:val="00BE754C"/>
    <w:rsid w:val="00BE7BCE"/>
    <w:rsid w:val="00BF00CC"/>
    <w:rsid w:val="00BF4750"/>
    <w:rsid w:val="00C01A00"/>
    <w:rsid w:val="00C01A5E"/>
    <w:rsid w:val="00C054ED"/>
    <w:rsid w:val="00C066B5"/>
    <w:rsid w:val="00C13F11"/>
    <w:rsid w:val="00C1612B"/>
    <w:rsid w:val="00C22506"/>
    <w:rsid w:val="00C22635"/>
    <w:rsid w:val="00C233EF"/>
    <w:rsid w:val="00C24E6E"/>
    <w:rsid w:val="00C25DE5"/>
    <w:rsid w:val="00C30FB6"/>
    <w:rsid w:val="00C3165D"/>
    <w:rsid w:val="00C50CE9"/>
    <w:rsid w:val="00C53E11"/>
    <w:rsid w:val="00C6343A"/>
    <w:rsid w:val="00C648D5"/>
    <w:rsid w:val="00C66863"/>
    <w:rsid w:val="00C66EC4"/>
    <w:rsid w:val="00C707EC"/>
    <w:rsid w:val="00C70DFB"/>
    <w:rsid w:val="00C710C6"/>
    <w:rsid w:val="00C74049"/>
    <w:rsid w:val="00C74256"/>
    <w:rsid w:val="00C80DFA"/>
    <w:rsid w:val="00C81B79"/>
    <w:rsid w:val="00C863BF"/>
    <w:rsid w:val="00C903F8"/>
    <w:rsid w:val="00C93E52"/>
    <w:rsid w:val="00C94229"/>
    <w:rsid w:val="00C9630F"/>
    <w:rsid w:val="00C97609"/>
    <w:rsid w:val="00C9779C"/>
    <w:rsid w:val="00CA24C8"/>
    <w:rsid w:val="00CA438F"/>
    <w:rsid w:val="00CA6D75"/>
    <w:rsid w:val="00CB3939"/>
    <w:rsid w:val="00CB6F9D"/>
    <w:rsid w:val="00CB7143"/>
    <w:rsid w:val="00CC5CFA"/>
    <w:rsid w:val="00CC6692"/>
    <w:rsid w:val="00CC73D0"/>
    <w:rsid w:val="00CC7732"/>
    <w:rsid w:val="00CD44F3"/>
    <w:rsid w:val="00CD52E7"/>
    <w:rsid w:val="00CD744F"/>
    <w:rsid w:val="00CE0301"/>
    <w:rsid w:val="00CE1E2E"/>
    <w:rsid w:val="00CE3D16"/>
    <w:rsid w:val="00CE4F7A"/>
    <w:rsid w:val="00CE4FF4"/>
    <w:rsid w:val="00CE5BB4"/>
    <w:rsid w:val="00CE5C10"/>
    <w:rsid w:val="00CF6800"/>
    <w:rsid w:val="00CF7908"/>
    <w:rsid w:val="00D04792"/>
    <w:rsid w:val="00D05E19"/>
    <w:rsid w:val="00D07B09"/>
    <w:rsid w:val="00D1653E"/>
    <w:rsid w:val="00D17910"/>
    <w:rsid w:val="00D211F9"/>
    <w:rsid w:val="00D21ABE"/>
    <w:rsid w:val="00D31C0E"/>
    <w:rsid w:val="00D370E2"/>
    <w:rsid w:val="00D40C72"/>
    <w:rsid w:val="00D42605"/>
    <w:rsid w:val="00D4277C"/>
    <w:rsid w:val="00D46756"/>
    <w:rsid w:val="00D60CAA"/>
    <w:rsid w:val="00D61E10"/>
    <w:rsid w:val="00D6319B"/>
    <w:rsid w:val="00D67EB8"/>
    <w:rsid w:val="00D71F4A"/>
    <w:rsid w:val="00D73A8B"/>
    <w:rsid w:val="00D73D0A"/>
    <w:rsid w:val="00D80CAB"/>
    <w:rsid w:val="00D82D28"/>
    <w:rsid w:val="00D83302"/>
    <w:rsid w:val="00D83975"/>
    <w:rsid w:val="00D843C7"/>
    <w:rsid w:val="00D84C02"/>
    <w:rsid w:val="00D90CFE"/>
    <w:rsid w:val="00D91AEF"/>
    <w:rsid w:val="00D9569B"/>
    <w:rsid w:val="00D95AE1"/>
    <w:rsid w:val="00D9725C"/>
    <w:rsid w:val="00DA1532"/>
    <w:rsid w:val="00DA5783"/>
    <w:rsid w:val="00DA75C7"/>
    <w:rsid w:val="00DA789B"/>
    <w:rsid w:val="00DB40F0"/>
    <w:rsid w:val="00DB5004"/>
    <w:rsid w:val="00DC143F"/>
    <w:rsid w:val="00DC5117"/>
    <w:rsid w:val="00DC7ECB"/>
    <w:rsid w:val="00DD1B4B"/>
    <w:rsid w:val="00DD5B72"/>
    <w:rsid w:val="00DD71D6"/>
    <w:rsid w:val="00DE1149"/>
    <w:rsid w:val="00DE7AF7"/>
    <w:rsid w:val="00DF008F"/>
    <w:rsid w:val="00DF09C8"/>
    <w:rsid w:val="00DF6269"/>
    <w:rsid w:val="00DF629F"/>
    <w:rsid w:val="00DF62A4"/>
    <w:rsid w:val="00E001A9"/>
    <w:rsid w:val="00E00C5F"/>
    <w:rsid w:val="00E035D0"/>
    <w:rsid w:val="00E05EAC"/>
    <w:rsid w:val="00E12240"/>
    <w:rsid w:val="00E15B40"/>
    <w:rsid w:val="00E200F6"/>
    <w:rsid w:val="00E21760"/>
    <w:rsid w:val="00E233E2"/>
    <w:rsid w:val="00E25D2E"/>
    <w:rsid w:val="00E272BF"/>
    <w:rsid w:val="00E307BF"/>
    <w:rsid w:val="00E31C1C"/>
    <w:rsid w:val="00E32B95"/>
    <w:rsid w:val="00E36899"/>
    <w:rsid w:val="00E45A37"/>
    <w:rsid w:val="00E47E01"/>
    <w:rsid w:val="00E51296"/>
    <w:rsid w:val="00E51A8F"/>
    <w:rsid w:val="00E52F75"/>
    <w:rsid w:val="00E54290"/>
    <w:rsid w:val="00E560AB"/>
    <w:rsid w:val="00E56C51"/>
    <w:rsid w:val="00E6302D"/>
    <w:rsid w:val="00E63886"/>
    <w:rsid w:val="00E65B69"/>
    <w:rsid w:val="00E665D4"/>
    <w:rsid w:val="00E718ED"/>
    <w:rsid w:val="00E72F4B"/>
    <w:rsid w:val="00E81155"/>
    <w:rsid w:val="00E813B4"/>
    <w:rsid w:val="00E86981"/>
    <w:rsid w:val="00E93240"/>
    <w:rsid w:val="00E93855"/>
    <w:rsid w:val="00E94EEE"/>
    <w:rsid w:val="00E952AC"/>
    <w:rsid w:val="00E96916"/>
    <w:rsid w:val="00E9743F"/>
    <w:rsid w:val="00EA14B5"/>
    <w:rsid w:val="00EA2FF1"/>
    <w:rsid w:val="00EA5145"/>
    <w:rsid w:val="00EC0563"/>
    <w:rsid w:val="00EC39EB"/>
    <w:rsid w:val="00EC7798"/>
    <w:rsid w:val="00EC7C99"/>
    <w:rsid w:val="00EC7FBE"/>
    <w:rsid w:val="00ED49FF"/>
    <w:rsid w:val="00ED5DB5"/>
    <w:rsid w:val="00EE636C"/>
    <w:rsid w:val="00EE654B"/>
    <w:rsid w:val="00EE708D"/>
    <w:rsid w:val="00EF033F"/>
    <w:rsid w:val="00EF2AA3"/>
    <w:rsid w:val="00EF654C"/>
    <w:rsid w:val="00EF7CF4"/>
    <w:rsid w:val="00F05C84"/>
    <w:rsid w:val="00F074E2"/>
    <w:rsid w:val="00F07FFD"/>
    <w:rsid w:val="00F11D80"/>
    <w:rsid w:val="00F11F3A"/>
    <w:rsid w:val="00F1503F"/>
    <w:rsid w:val="00F15C49"/>
    <w:rsid w:val="00F21B91"/>
    <w:rsid w:val="00F224AE"/>
    <w:rsid w:val="00F25927"/>
    <w:rsid w:val="00F33E0A"/>
    <w:rsid w:val="00F3739F"/>
    <w:rsid w:val="00F43207"/>
    <w:rsid w:val="00F43255"/>
    <w:rsid w:val="00F43EF8"/>
    <w:rsid w:val="00F45A98"/>
    <w:rsid w:val="00F518F7"/>
    <w:rsid w:val="00F54735"/>
    <w:rsid w:val="00F55B97"/>
    <w:rsid w:val="00F60BD1"/>
    <w:rsid w:val="00F62716"/>
    <w:rsid w:val="00F72F52"/>
    <w:rsid w:val="00F74A43"/>
    <w:rsid w:val="00F82096"/>
    <w:rsid w:val="00F83019"/>
    <w:rsid w:val="00F876F8"/>
    <w:rsid w:val="00F906A7"/>
    <w:rsid w:val="00F91385"/>
    <w:rsid w:val="00F926C3"/>
    <w:rsid w:val="00F9288D"/>
    <w:rsid w:val="00F9293F"/>
    <w:rsid w:val="00FA1EF1"/>
    <w:rsid w:val="00FA344D"/>
    <w:rsid w:val="00FA4D4E"/>
    <w:rsid w:val="00FA57CB"/>
    <w:rsid w:val="00FA65B8"/>
    <w:rsid w:val="00FB2B32"/>
    <w:rsid w:val="00FB2CFD"/>
    <w:rsid w:val="00FB330F"/>
    <w:rsid w:val="00FB52A5"/>
    <w:rsid w:val="00FB5B2A"/>
    <w:rsid w:val="00FB6FCA"/>
    <w:rsid w:val="00FC1FDA"/>
    <w:rsid w:val="00FC4842"/>
    <w:rsid w:val="00FE1185"/>
    <w:rsid w:val="00FE12B3"/>
    <w:rsid w:val="00FE39FC"/>
    <w:rsid w:val="00FE55D4"/>
    <w:rsid w:val="00FE5DD4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C2FAF"/>
  <w15:docId w15:val="{1D2415FB-EE98-4138-BC4A-0171967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A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170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4F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0170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semiHidden/>
    <w:locked/>
    <w:rsid w:val="00674F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74F29"/>
    <w:pPr>
      <w:spacing w:line="240" w:lineRule="auto"/>
    </w:pPr>
    <w:rPr>
      <w:b/>
      <w:bCs/>
      <w:color w:val="4F81BD"/>
      <w:sz w:val="18"/>
      <w:szCs w:val="18"/>
    </w:rPr>
  </w:style>
  <w:style w:type="paragraph" w:styleId="Tekstbalonia">
    <w:name w:val="Balloon Text"/>
    <w:basedOn w:val="Normal"/>
    <w:link w:val="TekstbaloniaChar"/>
    <w:rsid w:val="006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674F29"/>
    <w:rPr>
      <w:rFonts w:ascii="Tahoma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99"/>
    <w:rsid w:val="00674F29"/>
    <w:pPr>
      <w:ind w:left="720"/>
    </w:pPr>
  </w:style>
  <w:style w:type="character" w:styleId="Hiperveza">
    <w:name w:val="Hyperlink"/>
    <w:rsid w:val="00674F29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74F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674F29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74F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link w:val="Podnoje"/>
    <w:uiPriority w:val="99"/>
    <w:locked/>
    <w:rsid w:val="00674F29"/>
    <w:rPr>
      <w:rFonts w:ascii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674F2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674F29"/>
    <w:rPr>
      <w:rFonts w:ascii="Arial" w:hAnsi="Arial" w:cs="Arial"/>
      <w:sz w:val="20"/>
      <w:szCs w:val="20"/>
    </w:rPr>
  </w:style>
  <w:style w:type="character" w:styleId="Brojstranice">
    <w:name w:val="page number"/>
    <w:uiPriority w:val="99"/>
    <w:rsid w:val="00674F29"/>
    <w:rPr>
      <w:rFonts w:cs="Times New Roman"/>
    </w:rPr>
  </w:style>
  <w:style w:type="table" w:styleId="Reetkatablice">
    <w:name w:val="Table Grid"/>
    <w:basedOn w:val="Obinatablica"/>
    <w:uiPriority w:val="39"/>
    <w:rsid w:val="00674F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rsid w:val="00674F2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ijeloteksta2Char">
    <w:name w:val="Tijelo teksta 2 Char"/>
    <w:link w:val="Tijeloteksta2"/>
    <w:uiPriority w:val="99"/>
    <w:locked/>
    <w:rsid w:val="00674F29"/>
    <w:rPr>
      <w:rFonts w:ascii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674F2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link w:val="Tijeloteksta3"/>
    <w:uiPriority w:val="99"/>
    <w:locked/>
    <w:rsid w:val="00674F29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NoSpacing1">
    <w:name w:val="No Spacing1"/>
    <w:uiPriority w:val="99"/>
    <w:rsid w:val="00674F2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674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674F29"/>
    <w:rPr>
      <w:b/>
      <w:bCs/>
    </w:rPr>
  </w:style>
  <w:style w:type="character" w:styleId="Istaknuto">
    <w:name w:val="Emphasis"/>
    <w:uiPriority w:val="20"/>
    <w:qFormat/>
    <w:rsid w:val="00674F29"/>
    <w:rPr>
      <w:i/>
      <w:iCs/>
    </w:rPr>
  </w:style>
  <w:style w:type="character" w:customStyle="1" w:styleId="nieuws">
    <w:name w:val="nieuws"/>
    <w:rsid w:val="00674F29"/>
  </w:style>
  <w:style w:type="character" w:customStyle="1" w:styleId="hps">
    <w:name w:val="hps"/>
    <w:rsid w:val="00674F29"/>
  </w:style>
  <w:style w:type="paragraph" w:customStyle="1" w:styleId="ListParagraph1">
    <w:name w:val="List Paragraph1"/>
    <w:basedOn w:val="Normal"/>
    <w:uiPriority w:val="99"/>
    <w:rsid w:val="00674F29"/>
    <w:pPr>
      <w:ind w:left="720"/>
    </w:pPr>
  </w:style>
  <w:style w:type="character" w:styleId="Referencakomentara">
    <w:name w:val="annotation reference"/>
    <w:uiPriority w:val="99"/>
    <w:semiHidden/>
    <w:rsid w:val="00674F29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4F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674F29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74F2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674F29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74F29"/>
    <w:pPr>
      <w:ind w:left="720"/>
      <w:contextualSpacing/>
    </w:pPr>
  </w:style>
  <w:style w:type="paragraph" w:styleId="Bezproreda">
    <w:name w:val="No Spacing"/>
    <w:uiPriority w:val="1"/>
    <w:qFormat/>
    <w:rsid w:val="00674F29"/>
    <w:rPr>
      <w:sz w:val="22"/>
      <w:szCs w:val="22"/>
    </w:rPr>
  </w:style>
  <w:style w:type="character" w:customStyle="1" w:styleId="notranslate">
    <w:name w:val="notranslate"/>
    <w:rsid w:val="0001703A"/>
    <w:rPr>
      <w:rFonts w:cs="Times New Roman"/>
    </w:rPr>
  </w:style>
  <w:style w:type="character" w:customStyle="1" w:styleId="apple-converted-space">
    <w:name w:val="apple-converted-space"/>
    <w:rsid w:val="0001703A"/>
    <w:rPr>
      <w:rFonts w:cs="Times New Roman"/>
    </w:rPr>
  </w:style>
  <w:style w:type="character" w:customStyle="1" w:styleId="txtagenda">
    <w:name w:val="txt_agenda"/>
    <w:rsid w:val="0001703A"/>
    <w:rPr>
      <w:rFonts w:cs="Times New Roman"/>
    </w:rPr>
  </w:style>
  <w:style w:type="character" w:customStyle="1" w:styleId="CharAttribute1">
    <w:name w:val="CharAttribute1"/>
    <w:rsid w:val="0001703A"/>
    <w:rPr>
      <w:rFonts w:ascii="Times New Roman" w:eastAsia="Times New Roman"/>
    </w:rPr>
  </w:style>
  <w:style w:type="paragraph" w:styleId="HTMLunaprijedoblikovano">
    <w:name w:val="HTML Preformatted"/>
    <w:basedOn w:val="Normal"/>
    <w:link w:val="HTMLunaprijedoblikovanoChar"/>
    <w:uiPriority w:val="99"/>
    <w:locked/>
    <w:rsid w:val="007A2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locked/>
    <w:rsid w:val="007A2B20"/>
    <w:rPr>
      <w:rFonts w:ascii="Courier New" w:hAnsi="Courier New" w:cs="Courier New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B25A9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qFormat/>
    <w:locked/>
    <w:rsid w:val="002B25A9"/>
  </w:style>
  <w:style w:type="paragraph" w:styleId="Sadraj2">
    <w:name w:val="toc 2"/>
    <w:basedOn w:val="Normal"/>
    <w:next w:val="Normal"/>
    <w:autoRedefine/>
    <w:uiPriority w:val="39"/>
    <w:unhideWhenUsed/>
    <w:qFormat/>
    <w:locked/>
    <w:rsid w:val="002B25A9"/>
    <w:pPr>
      <w:spacing w:after="100"/>
      <w:ind w:left="220"/>
    </w:pPr>
    <w:rPr>
      <w:rFonts w:eastAsia="Times New Roman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locked/>
    <w:rsid w:val="002B25A9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2F11-C21E-4C80-8FEB-BE654202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JČP</dc:creator>
  <cp:keywords/>
  <dc:description/>
  <cp:lastModifiedBy>Snjezana Dubak-Braskic</cp:lastModifiedBy>
  <cp:revision>57</cp:revision>
  <cp:lastPrinted>2017-12-07T14:23:00Z</cp:lastPrinted>
  <dcterms:created xsi:type="dcterms:W3CDTF">2017-12-04T04:45:00Z</dcterms:created>
  <dcterms:modified xsi:type="dcterms:W3CDTF">2019-12-12T09:32:00Z</dcterms:modified>
</cp:coreProperties>
</file>